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26D358" w14:textId="0929BA68" w:rsidR="00C94917" w:rsidRPr="00E72F95" w:rsidRDefault="00C61EDA" w:rsidP="00DE0EF9">
      <w:pPr>
        <w:spacing w:before="120" w:after="120" w:line="240" w:lineRule="auto"/>
        <w:jc w:val="center"/>
        <w:rPr>
          <w:rFonts w:ascii="Segoe UI" w:hAnsi="Segoe UI" w:cs="Segoe UI"/>
          <w:b/>
          <w:sz w:val="28"/>
          <w:szCs w:val="28"/>
        </w:rPr>
      </w:pPr>
      <w:r w:rsidRPr="00E72F95">
        <w:rPr>
          <w:rFonts w:ascii="Segoe UI" w:hAnsi="Segoe UI" w:cs="Segoe UI"/>
          <w:b/>
          <w:sz w:val="28"/>
          <w:szCs w:val="28"/>
        </w:rPr>
        <w:t>Vyhodnocení</w:t>
      </w:r>
      <w:r w:rsidR="00E72F95" w:rsidRPr="00E72F95">
        <w:rPr>
          <w:rFonts w:ascii="Segoe UI" w:hAnsi="Segoe UI" w:cs="Segoe UI"/>
          <w:b/>
          <w:sz w:val="28"/>
          <w:szCs w:val="28"/>
        </w:rPr>
        <w:t xml:space="preserve"> možnosti aplikace</w:t>
      </w:r>
      <w:r w:rsidRPr="00E72F95">
        <w:rPr>
          <w:rFonts w:ascii="Segoe UI" w:hAnsi="Segoe UI" w:cs="Segoe UI"/>
          <w:b/>
          <w:sz w:val="28"/>
          <w:szCs w:val="28"/>
        </w:rPr>
        <w:t xml:space="preserve"> sociálního a environmentálního odpovědného zadávání a inovací</w:t>
      </w:r>
      <w:r w:rsidR="003F27A6">
        <w:rPr>
          <w:rFonts w:ascii="Segoe UI" w:hAnsi="Segoe UI" w:cs="Segoe UI"/>
          <w:b/>
          <w:sz w:val="28"/>
          <w:szCs w:val="28"/>
        </w:rPr>
        <w:t xml:space="preserve"> a zásady DNSH</w:t>
      </w:r>
      <w:r w:rsidRPr="00E72F95">
        <w:rPr>
          <w:rFonts w:ascii="Segoe UI" w:hAnsi="Segoe UI" w:cs="Segoe UI"/>
          <w:b/>
          <w:sz w:val="28"/>
          <w:szCs w:val="28"/>
        </w:rPr>
        <w:t xml:space="preserve"> ve veřejné zakázce:</w:t>
      </w:r>
    </w:p>
    <w:p w14:paraId="39AB8943" w14:textId="77777777" w:rsidR="00E04880" w:rsidRDefault="00E04880" w:rsidP="00E72F95">
      <w:pPr>
        <w:spacing w:before="120" w:after="0" w:line="240" w:lineRule="auto"/>
        <w:rPr>
          <w:rFonts w:ascii="Segoe UI" w:hAnsi="Segoe UI" w:cs="Segoe UI"/>
          <w:b/>
          <w:sz w:val="20"/>
          <w:szCs w:val="20"/>
        </w:rPr>
      </w:pPr>
    </w:p>
    <w:p w14:paraId="5438AF40" w14:textId="37412951" w:rsidR="003F27A6" w:rsidRPr="007D007C" w:rsidRDefault="003F27A6" w:rsidP="00506CFC">
      <w:pPr>
        <w:spacing w:before="120" w:after="120"/>
        <w:contextualSpacing/>
        <w:jc w:val="center"/>
        <w:rPr>
          <w:rFonts w:ascii="Segoe UI" w:hAnsi="Segoe UI" w:cs="Segoe UI"/>
          <w:b/>
          <w:noProof/>
          <w:color w:val="005DA4"/>
          <w:sz w:val="24"/>
          <w:szCs w:val="24"/>
        </w:rPr>
      </w:pPr>
      <w:bookmarkStart w:id="0" w:name="_Hlk147137742"/>
      <w:r w:rsidRPr="007D007C">
        <w:rPr>
          <w:rFonts w:ascii="Segoe UI" w:hAnsi="Segoe UI" w:cs="Segoe UI"/>
          <w:b/>
          <w:noProof/>
          <w:color w:val="005DA4"/>
          <w:sz w:val="24"/>
          <w:szCs w:val="24"/>
        </w:rPr>
        <w:t>„</w:t>
      </w:r>
      <w:bookmarkStart w:id="1" w:name="_Hlk156370386"/>
      <w:bookmarkEnd w:id="0"/>
      <w:r w:rsidR="00506CFC">
        <w:rPr>
          <w:rFonts w:ascii="Segoe UI" w:hAnsi="Segoe UI" w:cs="Segoe UI"/>
          <w:b/>
          <w:noProof/>
          <w:color w:val="005DA4"/>
          <w:sz w:val="24"/>
          <w:szCs w:val="24"/>
        </w:rPr>
        <w:t>Pořízení cisternové automobilové stříkačky pro JSDH Chrudim“</w:t>
      </w:r>
    </w:p>
    <w:bookmarkEnd w:id="1"/>
    <w:p w14:paraId="1EA192F3" w14:textId="77777777" w:rsidR="00E04880" w:rsidRDefault="00E04880" w:rsidP="00E72F95">
      <w:pPr>
        <w:spacing w:before="120" w:after="0" w:line="240" w:lineRule="auto"/>
        <w:rPr>
          <w:rFonts w:ascii="Segoe UI" w:hAnsi="Segoe UI" w:cs="Segoe UI"/>
          <w:b/>
          <w:sz w:val="20"/>
          <w:szCs w:val="20"/>
        </w:rPr>
      </w:pPr>
    </w:p>
    <w:p w14:paraId="2060F1BB" w14:textId="77777777" w:rsidR="005222CF" w:rsidRPr="00E72F95" w:rsidRDefault="005222CF" w:rsidP="00E72F95">
      <w:pPr>
        <w:spacing w:before="120" w:after="0" w:line="240" w:lineRule="auto"/>
        <w:rPr>
          <w:rFonts w:ascii="Segoe UI" w:hAnsi="Segoe UI" w:cs="Segoe UI"/>
          <w:b/>
          <w:sz w:val="20"/>
          <w:szCs w:val="20"/>
        </w:rPr>
      </w:pPr>
      <w:r w:rsidRPr="00E72F95">
        <w:rPr>
          <w:rFonts w:ascii="Segoe UI" w:hAnsi="Segoe UI" w:cs="Segoe UI"/>
          <w:b/>
          <w:sz w:val="20"/>
          <w:szCs w:val="20"/>
        </w:rPr>
        <w:t>Zadavatel:</w:t>
      </w:r>
    </w:p>
    <w:p w14:paraId="7A9887B3" w14:textId="2C7A5821" w:rsidR="00BF2640" w:rsidRPr="00BF2640" w:rsidRDefault="00BF2640" w:rsidP="00BF2640">
      <w:pPr>
        <w:spacing w:after="0" w:line="240" w:lineRule="auto"/>
        <w:rPr>
          <w:rFonts w:ascii="Segoe UI" w:eastAsia="Times New Roman" w:hAnsi="Segoe UI" w:cs="Segoe UI"/>
          <w:b/>
          <w:snapToGrid w:val="0"/>
          <w:color w:val="000000"/>
          <w:sz w:val="20"/>
          <w:szCs w:val="20"/>
          <w:lang w:eastAsia="cs-CZ"/>
        </w:rPr>
      </w:pPr>
      <w:r w:rsidRPr="00BF2640">
        <w:rPr>
          <w:rFonts w:ascii="Segoe UI" w:eastAsia="Times New Roman" w:hAnsi="Segoe UI" w:cs="Segoe UI"/>
          <w:b/>
          <w:snapToGrid w:val="0"/>
          <w:color w:val="000000"/>
          <w:sz w:val="20"/>
          <w:szCs w:val="20"/>
          <w:lang w:eastAsia="cs-CZ"/>
        </w:rPr>
        <w:t>Město Chrudim</w:t>
      </w:r>
    </w:p>
    <w:p w14:paraId="489AE8F2" w14:textId="199D3D73" w:rsidR="00BF2640" w:rsidRPr="00BF2640" w:rsidRDefault="00BF2640" w:rsidP="00BF2640">
      <w:pPr>
        <w:spacing w:after="0" w:line="240" w:lineRule="auto"/>
        <w:rPr>
          <w:rFonts w:ascii="Segoe UI" w:eastAsia="Times New Roman" w:hAnsi="Segoe UI" w:cs="Segoe UI"/>
          <w:bCs/>
          <w:snapToGrid w:val="0"/>
          <w:color w:val="000000"/>
          <w:sz w:val="20"/>
          <w:szCs w:val="20"/>
          <w:lang w:eastAsia="cs-CZ"/>
        </w:rPr>
      </w:pPr>
      <w:proofErr w:type="spellStart"/>
      <w:r w:rsidRPr="00BF2640">
        <w:rPr>
          <w:rFonts w:ascii="Segoe UI" w:eastAsia="Times New Roman" w:hAnsi="Segoe UI" w:cs="Segoe UI"/>
          <w:snapToGrid w:val="0"/>
          <w:color w:val="000000"/>
          <w:sz w:val="20"/>
          <w:szCs w:val="20"/>
          <w:lang w:eastAsia="cs-CZ"/>
        </w:rPr>
        <w:t>Resselovo</w:t>
      </w:r>
      <w:proofErr w:type="spellEnd"/>
      <w:r w:rsidRPr="00BF2640">
        <w:rPr>
          <w:rFonts w:ascii="Segoe UI" w:eastAsia="Times New Roman" w:hAnsi="Segoe UI" w:cs="Segoe UI"/>
          <w:snapToGrid w:val="0"/>
          <w:color w:val="000000"/>
          <w:sz w:val="20"/>
          <w:szCs w:val="20"/>
          <w:lang w:eastAsia="cs-CZ"/>
        </w:rPr>
        <w:t xml:space="preserve"> náměstí 77, 537 16 Chrudim I</w:t>
      </w:r>
    </w:p>
    <w:p w14:paraId="79E75CC2" w14:textId="7778CAFE" w:rsidR="00BF2640" w:rsidRPr="00BF2640" w:rsidRDefault="00BF2640" w:rsidP="00BF2640">
      <w:pPr>
        <w:spacing w:after="0" w:line="240" w:lineRule="auto"/>
        <w:rPr>
          <w:rFonts w:ascii="Segoe UI" w:eastAsia="Times New Roman" w:hAnsi="Segoe UI" w:cs="Segoe UI"/>
          <w:snapToGrid w:val="0"/>
          <w:color w:val="000000"/>
          <w:sz w:val="20"/>
          <w:szCs w:val="20"/>
          <w:lang w:eastAsia="cs-CZ"/>
        </w:rPr>
      </w:pPr>
      <w:r w:rsidRPr="00BF2640">
        <w:rPr>
          <w:rFonts w:ascii="Segoe UI" w:eastAsia="Times New Roman" w:hAnsi="Segoe UI" w:cs="Segoe UI"/>
          <w:snapToGrid w:val="0"/>
          <w:color w:val="000000"/>
          <w:sz w:val="20"/>
          <w:szCs w:val="20"/>
          <w:lang w:eastAsia="cs-CZ"/>
        </w:rPr>
        <w:t>IČO:</w:t>
      </w:r>
      <w:r>
        <w:rPr>
          <w:rFonts w:ascii="Segoe UI" w:eastAsia="Times New Roman" w:hAnsi="Segoe UI" w:cs="Segoe UI"/>
          <w:snapToGrid w:val="0"/>
          <w:color w:val="000000"/>
          <w:sz w:val="20"/>
          <w:szCs w:val="20"/>
          <w:lang w:eastAsia="cs-CZ"/>
        </w:rPr>
        <w:t xml:space="preserve"> </w:t>
      </w:r>
      <w:r w:rsidRPr="00BF2640">
        <w:rPr>
          <w:rFonts w:ascii="Segoe UI" w:eastAsia="Times New Roman" w:hAnsi="Segoe UI" w:cs="Segoe UI"/>
          <w:snapToGrid w:val="0"/>
          <w:color w:val="000000"/>
          <w:sz w:val="20"/>
          <w:szCs w:val="20"/>
          <w:lang w:eastAsia="cs-CZ"/>
        </w:rPr>
        <w:t>00270211</w:t>
      </w:r>
    </w:p>
    <w:p w14:paraId="31F6E7C4" w14:textId="5070F3D0" w:rsidR="00BF2640" w:rsidRPr="00BF2640" w:rsidRDefault="00BF2640" w:rsidP="00BF2640">
      <w:pPr>
        <w:spacing w:after="0" w:line="240" w:lineRule="auto"/>
        <w:rPr>
          <w:rFonts w:ascii="Segoe UI" w:eastAsia="Times New Roman" w:hAnsi="Segoe UI" w:cs="Segoe UI"/>
          <w:snapToGrid w:val="0"/>
          <w:color w:val="000000"/>
          <w:sz w:val="20"/>
          <w:szCs w:val="20"/>
          <w:lang w:eastAsia="cs-CZ"/>
        </w:rPr>
      </w:pPr>
      <w:r w:rsidRPr="00BF2640">
        <w:rPr>
          <w:rFonts w:ascii="Segoe UI" w:eastAsia="Times New Roman" w:hAnsi="Segoe UI" w:cs="Segoe UI"/>
          <w:snapToGrid w:val="0"/>
          <w:color w:val="000000"/>
          <w:sz w:val="20"/>
          <w:szCs w:val="20"/>
          <w:lang w:eastAsia="cs-CZ"/>
        </w:rPr>
        <w:t>Odpovědný zástupce:</w:t>
      </w:r>
      <w:r>
        <w:rPr>
          <w:rFonts w:ascii="Segoe UI" w:eastAsia="Times New Roman" w:hAnsi="Segoe UI" w:cs="Segoe UI"/>
          <w:snapToGrid w:val="0"/>
          <w:color w:val="000000"/>
          <w:sz w:val="20"/>
          <w:szCs w:val="20"/>
          <w:lang w:eastAsia="cs-CZ"/>
        </w:rPr>
        <w:t xml:space="preserve"> </w:t>
      </w:r>
      <w:r w:rsidRPr="00BF2640">
        <w:rPr>
          <w:rFonts w:ascii="Segoe UI" w:eastAsia="Times New Roman" w:hAnsi="Segoe UI" w:cs="Segoe UI"/>
          <w:snapToGrid w:val="0"/>
          <w:color w:val="000000"/>
          <w:sz w:val="20"/>
          <w:szCs w:val="20"/>
          <w:lang w:eastAsia="cs-CZ"/>
        </w:rPr>
        <w:t>Ing. František Pilný, MBA, starosta města Chrudim</w:t>
      </w:r>
    </w:p>
    <w:p w14:paraId="1AE5644D" w14:textId="17658794" w:rsidR="00BF2640" w:rsidRPr="00BF2640" w:rsidRDefault="00BF2640" w:rsidP="00BF2640">
      <w:pPr>
        <w:spacing w:after="0" w:line="240" w:lineRule="auto"/>
        <w:rPr>
          <w:rFonts w:ascii="Segoe UI" w:eastAsia="Times New Roman" w:hAnsi="Segoe UI" w:cs="Segoe UI"/>
          <w:snapToGrid w:val="0"/>
          <w:color w:val="000000"/>
          <w:sz w:val="20"/>
          <w:szCs w:val="20"/>
          <w:lang w:eastAsia="cs-CZ"/>
        </w:rPr>
      </w:pPr>
      <w:r w:rsidRPr="00BF2640">
        <w:rPr>
          <w:rFonts w:ascii="Segoe UI" w:eastAsia="Times New Roman" w:hAnsi="Segoe UI" w:cs="Segoe UI"/>
          <w:snapToGrid w:val="0"/>
          <w:color w:val="000000"/>
          <w:sz w:val="20"/>
          <w:szCs w:val="20"/>
          <w:lang w:eastAsia="cs-CZ"/>
        </w:rPr>
        <w:t>Zástupce ve věcech technických:</w:t>
      </w:r>
      <w:r>
        <w:rPr>
          <w:rFonts w:ascii="Segoe UI" w:eastAsia="Times New Roman" w:hAnsi="Segoe UI" w:cs="Segoe UI"/>
          <w:snapToGrid w:val="0"/>
          <w:color w:val="000000"/>
          <w:sz w:val="20"/>
          <w:szCs w:val="20"/>
          <w:lang w:eastAsia="cs-CZ"/>
        </w:rPr>
        <w:t xml:space="preserve"> </w:t>
      </w:r>
      <w:r w:rsidR="003F27A6">
        <w:rPr>
          <w:rFonts w:ascii="Segoe UI" w:eastAsia="Times New Roman" w:hAnsi="Segoe UI" w:cs="Segoe UI"/>
          <w:snapToGrid w:val="0"/>
          <w:color w:val="000000"/>
          <w:sz w:val="20"/>
          <w:szCs w:val="20"/>
          <w:lang w:eastAsia="cs-CZ"/>
        </w:rPr>
        <w:t>Ing. Lenka Šiklová</w:t>
      </w:r>
    </w:p>
    <w:p w14:paraId="1CE742A0" w14:textId="77777777" w:rsidR="00BF2640" w:rsidRDefault="00BF2640" w:rsidP="005222CF">
      <w:pPr>
        <w:spacing w:before="120" w:after="120" w:line="240" w:lineRule="auto"/>
        <w:contextualSpacing/>
        <w:rPr>
          <w:rFonts w:ascii="Segoe UI" w:hAnsi="Segoe UI" w:cs="Segoe UI"/>
          <w:sz w:val="20"/>
          <w:szCs w:val="20"/>
        </w:rPr>
      </w:pPr>
    </w:p>
    <w:p w14:paraId="194B58C0" w14:textId="77777777" w:rsidR="00BF2640" w:rsidRDefault="00BF2640" w:rsidP="005222CF">
      <w:pPr>
        <w:spacing w:before="120" w:after="120" w:line="240" w:lineRule="auto"/>
        <w:contextualSpacing/>
        <w:rPr>
          <w:rFonts w:ascii="Segoe UI" w:hAnsi="Segoe UI" w:cs="Segoe UI"/>
          <w:sz w:val="20"/>
          <w:szCs w:val="20"/>
        </w:rPr>
      </w:pPr>
    </w:p>
    <w:p w14:paraId="45D63EC2" w14:textId="77777777" w:rsidR="00E72F95" w:rsidRPr="005222CF" w:rsidRDefault="00E72F95" w:rsidP="005222CF">
      <w:pPr>
        <w:spacing w:before="120" w:after="120" w:line="240" w:lineRule="auto"/>
        <w:contextualSpacing/>
        <w:rPr>
          <w:rFonts w:ascii="Segoe UI" w:hAnsi="Segoe UI" w:cs="Segoe UI"/>
          <w:sz w:val="20"/>
          <w:szCs w:val="20"/>
        </w:rPr>
      </w:pPr>
    </w:p>
    <w:tbl>
      <w:tblPr>
        <w:tblStyle w:val="Mkatabulky"/>
        <w:tblW w:w="0" w:type="auto"/>
        <w:tblLook w:val="04A0" w:firstRow="1" w:lastRow="0" w:firstColumn="1" w:lastColumn="0" w:noHBand="0" w:noVBand="1"/>
      </w:tblPr>
      <w:tblGrid>
        <w:gridCol w:w="2811"/>
        <w:gridCol w:w="2868"/>
        <w:gridCol w:w="3383"/>
      </w:tblGrid>
      <w:tr w:rsidR="005222CF" w:rsidRPr="005222CF" w14:paraId="445C9018" w14:textId="77777777" w:rsidTr="00FC3786">
        <w:tc>
          <w:tcPr>
            <w:tcW w:w="2900" w:type="dxa"/>
            <w:vAlign w:val="center"/>
          </w:tcPr>
          <w:p w14:paraId="47327CF5" w14:textId="77777777" w:rsidR="00C61EDA" w:rsidRPr="004D2DB8" w:rsidRDefault="00C61EDA" w:rsidP="005222CF">
            <w:pPr>
              <w:spacing w:before="120" w:after="120"/>
              <w:jc w:val="center"/>
              <w:rPr>
                <w:rFonts w:ascii="Segoe UI" w:hAnsi="Segoe UI" w:cs="Segoe UI"/>
                <w:b/>
                <w:sz w:val="20"/>
                <w:szCs w:val="20"/>
              </w:rPr>
            </w:pPr>
            <w:r w:rsidRPr="004D2DB8">
              <w:rPr>
                <w:rFonts w:ascii="Segoe UI" w:hAnsi="Segoe UI" w:cs="Segoe UI"/>
                <w:b/>
                <w:sz w:val="20"/>
                <w:szCs w:val="20"/>
              </w:rPr>
              <w:t>Aspekty odpovědného veřejného zadávání (dále jen „OVZ“) či inovací, které je možné zohlednit ve veřejné zakázce</w:t>
            </w:r>
          </w:p>
        </w:tc>
        <w:tc>
          <w:tcPr>
            <w:tcW w:w="2878" w:type="dxa"/>
            <w:vAlign w:val="center"/>
          </w:tcPr>
          <w:p w14:paraId="76F08CBB" w14:textId="77777777" w:rsidR="00C61EDA" w:rsidRPr="004D2DB8" w:rsidRDefault="00C61EDA" w:rsidP="005222CF">
            <w:pPr>
              <w:spacing w:before="120" w:after="120"/>
              <w:jc w:val="center"/>
              <w:rPr>
                <w:rFonts w:ascii="Segoe UI" w:hAnsi="Segoe UI" w:cs="Segoe UI"/>
                <w:b/>
                <w:sz w:val="20"/>
                <w:szCs w:val="20"/>
              </w:rPr>
            </w:pPr>
            <w:r w:rsidRPr="004D2DB8">
              <w:rPr>
                <w:rFonts w:ascii="Segoe UI" w:hAnsi="Segoe UI" w:cs="Segoe UI"/>
                <w:b/>
                <w:sz w:val="20"/>
                <w:szCs w:val="20"/>
              </w:rPr>
              <w:t>Vyhodnocení možnosti zohlednění OVZ a inovací</w:t>
            </w:r>
          </w:p>
          <w:p w14:paraId="0553D7F3" w14:textId="77777777" w:rsidR="00C61EDA" w:rsidRPr="004D2DB8" w:rsidRDefault="00C61EDA" w:rsidP="005222CF">
            <w:pPr>
              <w:spacing w:before="120" w:after="120"/>
              <w:jc w:val="center"/>
              <w:rPr>
                <w:rFonts w:ascii="Segoe UI" w:hAnsi="Segoe UI" w:cs="Segoe UI"/>
                <w:b/>
                <w:sz w:val="20"/>
                <w:szCs w:val="20"/>
              </w:rPr>
            </w:pPr>
            <w:r w:rsidRPr="004D2DB8">
              <w:rPr>
                <w:rFonts w:ascii="Segoe UI" w:hAnsi="Segoe UI" w:cs="Segoe UI"/>
                <w:b/>
                <w:sz w:val="20"/>
                <w:szCs w:val="20"/>
              </w:rPr>
              <w:t>(ANO/NE/NERELEVANTNÍ)</w:t>
            </w:r>
          </w:p>
        </w:tc>
        <w:tc>
          <w:tcPr>
            <w:tcW w:w="3510" w:type="dxa"/>
            <w:vAlign w:val="center"/>
          </w:tcPr>
          <w:p w14:paraId="7C903C0C" w14:textId="77777777" w:rsidR="00C61EDA" w:rsidRPr="004D2DB8" w:rsidRDefault="00C61EDA" w:rsidP="005222CF">
            <w:pPr>
              <w:spacing w:before="120" w:after="120"/>
              <w:jc w:val="center"/>
              <w:rPr>
                <w:rFonts w:ascii="Segoe UI" w:hAnsi="Segoe UI" w:cs="Segoe UI"/>
                <w:b/>
                <w:sz w:val="20"/>
                <w:szCs w:val="20"/>
              </w:rPr>
            </w:pPr>
            <w:r w:rsidRPr="004D2DB8">
              <w:rPr>
                <w:rFonts w:ascii="Segoe UI" w:hAnsi="Segoe UI" w:cs="Segoe UI"/>
                <w:b/>
                <w:sz w:val="20"/>
                <w:szCs w:val="20"/>
              </w:rPr>
              <w:t>Specifikace přijatých opatření/ Odůvodnění nevyužití aspektu OVZ či inovace</w:t>
            </w:r>
          </w:p>
        </w:tc>
      </w:tr>
      <w:tr w:rsidR="005222CF" w:rsidRPr="00FD27E4" w14:paraId="24E85BF9" w14:textId="77777777" w:rsidTr="00FC3786">
        <w:tc>
          <w:tcPr>
            <w:tcW w:w="2900" w:type="dxa"/>
          </w:tcPr>
          <w:p w14:paraId="2E10CCC0" w14:textId="77777777" w:rsidR="00C61EDA" w:rsidRPr="00FD27E4" w:rsidRDefault="00C61EDA" w:rsidP="005222CF">
            <w:pPr>
              <w:spacing w:before="120" w:after="120"/>
              <w:jc w:val="both"/>
              <w:rPr>
                <w:rFonts w:ascii="Segoe UI" w:hAnsi="Segoe UI" w:cs="Segoe UI"/>
                <w:sz w:val="20"/>
                <w:szCs w:val="20"/>
              </w:rPr>
            </w:pPr>
            <w:r w:rsidRPr="00FD27E4">
              <w:rPr>
                <w:rFonts w:ascii="Segoe UI" w:hAnsi="Segoe UI" w:cs="Segoe UI"/>
                <w:sz w:val="20"/>
                <w:szCs w:val="20"/>
              </w:rPr>
              <w:t>1. Mohou při plnění veřejné zakázky získat práci osoby znevýhodněné na trhu práce?</w:t>
            </w:r>
          </w:p>
        </w:tc>
        <w:tc>
          <w:tcPr>
            <w:tcW w:w="2878" w:type="dxa"/>
          </w:tcPr>
          <w:p w14:paraId="558BA808" w14:textId="7C71E0D2" w:rsidR="005A6A36" w:rsidRPr="00FD27E4" w:rsidRDefault="0042169C" w:rsidP="008E496D">
            <w:pPr>
              <w:spacing w:before="120" w:after="120"/>
              <w:jc w:val="both"/>
              <w:rPr>
                <w:rFonts w:ascii="Segoe UI" w:hAnsi="Segoe UI" w:cs="Segoe UI"/>
                <w:sz w:val="20"/>
                <w:szCs w:val="20"/>
              </w:rPr>
            </w:pPr>
            <w:r w:rsidRPr="00FD27E4">
              <w:rPr>
                <w:rFonts w:ascii="Segoe UI" w:hAnsi="Segoe UI" w:cs="Segoe UI"/>
                <w:sz w:val="20"/>
                <w:szCs w:val="20"/>
              </w:rPr>
              <w:t xml:space="preserve">Tato možnost je teoreticky možná, pakliže bude dodavatel přijímat </w:t>
            </w:r>
            <w:r w:rsidR="00F2346D" w:rsidRPr="00FD27E4">
              <w:rPr>
                <w:rFonts w:ascii="Segoe UI" w:hAnsi="Segoe UI" w:cs="Segoe UI"/>
                <w:sz w:val="20"/>
                <w:szCs w:val="20"/>
              </w:rPr>
              <w:t xml:space="preserve">pro poskytování </w:t>
            </w:r>
            <w:r w:rsidR="008E496D">
              <w:rPr>
                <w:rFonts w:ascii="Segoe UI" w:hAnsi="Segoe UI" w:cs="Segoe UI"/>
                <w:sz w:val="20"/>
                <w:szCs w:val="20"/>
              </w:rPr>
              <w:t xml:space="preserve">dodávek </w:t>
            </w:r>
            <w:r w:rsidRPr="00FD27E4">
              <w:rPr>
                <w:rFonts w:ascii="Segoe UI" w:hAnsi="Segoe UI" w:cs="Segoe UI"/>
                <w:sz w:val="20"/>
                <w:szCs w:val="20"/>
              </w:rPr>
              <w:t>i nové zaměstnance. Pokud má dodavatel stálou základnu zaměstnanců, se kterou je schopen kapacitně</w:t>
            </w:r>
            <w:r w:rsidR="00222521" w:rsidRPr="00FD27E4">
              <w:rPr>
                <w:rFonts w:ascii="Segoe UI" w:hAnsi="Segoe UI" w:cs="Segoe UI"/>
                <w:sz w:val="20"/>
                <w:szCs w:val="20"/>
              </w:rPr>
              <w:t xml:space="preserve"> a odborně</w:t>
            </w:r>
            <w:r w:rsidRPr="00FD27E4">
              <w:rPr>
                <w:rFonts w:ascii="Segoe UI" w:hAnsi="Segoe UI" w:cs="Segoe UI"/>
                <w:sz w:val="20"/>
                <w:szCs w:val="20"/>
              </w:rPr>
              <w:t xml:space="preserve"> plnění zakázky zvládnout, je tento aspekt odpovědného zadávání spíše nepravděpodobný.</w:t>
            </w:r>
          </w:p>
        </w:tc>
        <w:tc>
          <w:tcPr>
            <w:tcW w:w="3510" w:type="dxa"/>
          </w:tcPr>
          <w:p w14:paraId="69BA2347" w14:textId="02B8958D" w:rsidR="008C32BF" w:rsidRPr="00FD27E4" w:rsidRDefault="002B3D0D" w:rsidP="008E496D">
            <w:pPr>
              <w:spacing w:before="120" w:after="120"/>
              <w:jc w:val="both"/>
              <w:rPr>
                <w:rFonts w:ascii="Segoe UI" w:hAnsi="Segoe UI" w:cs="Segoe UI"/>
                <w:sz w:val="20"/>
                <w:szCs w:val="20"/>
              </w:rPr>
            </w:pPr>
            <w:r w:rsidRPr="00FD27E4">
              <w:rPr>
                <w:rFonts w:ascii="Segoe UI" w:hAnsi="Segoe UI" w:cs="Segoe UI"/>
                <w:sz w:val="20"/>
                <w:szCs w:val="20"/>
              </w:rPr>
              <w:t xml:space="preserve">Zadavatel v tomto ohledu nechce klást dodavateli nesmyslně přísná kritéria. </w:t>
            </w:r>
            <w:r w:rsidR="00506CFC">
              <w:rPr>
                <w:rFonts w:ascii="Segoe UI" w:hAnsi="Segoe UI" w:cs="Segoe UI"/>
                <w:sz w:val="20"/>
                <w:szCs w:val="20"/>
              </w:rPr>
              <w:t>Nelze předpokládat.</w:t>
            </w:r>
          </w:p>
        </w:tc>
      </w:tr>
      <w:tr w:rsidR="005222CF" w:rsidRPr="00FD27E4" w14:paraId="5C2E2D24" w14:textId="77777777" w:rsidTr="00FC3786">
        <w:tc>
          <w:tcPr>
            <w:tcW w:w="2900" w:type="dxa"/>
          </w:tcPr>
          <w:p w14:paraId="011D18A2" w14:textId="0C0FAE2C" w:rsidR="00C61EDA" w:rsidRPr="00FD27E4" w:rsidRDefault="00C61EDA" w:rsidP="005222CF">
            <w:pPr>
              <w:spacing w:before="120" w:after="120"/>
              <w:jc w:val="both"/>
              <w:rPr>
                <w:rFonts w:ascii="Segoe UI" w:hAnsi="Segoe UI" w:cs="Segoe UI"/>
                <w:sz w:val="20"/>
                <w:szCs w:val="20"/>
              </w:rPr>
            </w:pPr>
            <w:r w:rsidRPr="00FD27E4">
              <w:rPr>
                <w:rFonts w:ascii="Segoe UI" w:hAnsi="Segoe UI" w:cs="Segoe UI"/>
                <w:sz w:val="20"/>
                <w:szCs w:val="20"/>
              </w:rPr>
              <w:t xml:space="preserve">2. Mohou při plnění veřejné zakázky noví zaměstnanci, zejména znevýhodnění na trhu práce, získat nebo si zvýšit kvalifikaci? </w:t>
            </w:r>
          </w:p>
        </w:tc>
        <w:tc>
          <w:tcPr>
            <w:tcW w:w="2878" w:type="dxa"/>
          </w:tcPr>
          <w:p w14:paraId="5446A2AB" w14:textId="050CCEAF" w:rsidR="00C61EDA" w:rsidRPr="00FD27E4" w:rsidRDefault="00E147AB" w:rsidP="00E72F95">
            <w:pPr>
              <w:spacing w:before="120" w:after="120"/>
              <w:jc w:val="both"/>
              <w:rPr>
                <w:rFonts w:ascii="Segoe UI" w:hAnsi="Segoe UI" w:cs="Segoe UI"/>
                <w:sz w:val="20"/>
                <w:szCs w:val="20"/>
              </w:rPr>
            </w:pPr>
            <w:r>
              <w:rPr>
                <w:rFonts w:ascii="Segoe UI" w:hAnsi="Segoe UI" w:cs="Segoe UI"/>
                <w:sz w:val="20"/>
                <w:szCs w:val="20"/>
              </w:rPr>
              <w:t>Vzhledem k objemu zakázky toto není reálné.</w:t>
            </w:r>
          </w:p>
        </w:tc>
        <w:tc>
          <w:tcPr>
            <w:tcW w:w="3510" w:type="dxa"/>
          </w:tcPr>
          <w:p w14:paraId="34DB4D38" w14:textId="232ACB70" w:rsidR="00C61EDA" w:rsidRPr="00FD27E4" w:rsidRDefault="00E147AB" w:rsidP="002B3D0D">
            <w:pPr>
              <w:spacing w:before="120" w:after="120"/>
              <w:jc w:val="both"/>
              <w:rPr>
                <w:rFonts w:ascii="Segoe UI" w:hAnsi="Segoe UI" w:cs="Segoe UI"/>
                <w:sz w:val="20"/>
                <w:szCs w:val="20"/>
              </w:rPr>
            </w:pPr>
            <w:r>
              <w:rPr>
                <w:rFonts w:ascii="Segoe UI" w:hAnsi="Segoe UI" w:cs="Segoe UI"/>
                <w:sz w:val="20"/>
                <w:szCs w:val="20"/>
              </w:rPr>
              <w:t>Zadavatel v tomto ohledu nepřijímá žádná opatření.</w:t>
            </w:r>
          </w:p>
        </w:tc>
      </w:tr>
      <w:tr w:rsidR="005222CF" w:rsidRPr="00FD27E4" w14:paraId="6775697E" w14:textId="77777777" w:rsidTr="00FC3786">
        <w:tc>
          <w:tcPr>
            <w:tcW w:w="2900" w:type="dxa"/>
          </w:tcPr>
          <w:p w14:paraId="7286A913" w14:textId="77777777" w:rsidR="00C61EDA" w:rsidRPr="00FD27E4" w:rsidRDefault="00C61EDA" w:rsidP="005222CF">
            <w:pPr>
              <w:spacing w:before="120" w:after="120"/>
              <w:jc w:val="both"/>
              <w:rPr>
                <w:rFonts w:ascii="Segoe UI" w:hAnsi="Segoe UI" w:cs="Segoe UI"/>
                <w:sz w:val="20"/>
                <w:szCs w:val="20"/>
              </w:rPr>
            </w:pPr>
            <w:r w:rsidRPr="00FD27E4">
              <w:rPr>
                <w:rFonts w:ascii="Segoe UI" w:hAnsi="Segoe UI" w:cs="Segoe UI"/>
                <w:sz w:val="20"/>
                <w:szCs w:val="20"/>
              </w:rPr>
              <w:t>3. Je možné v rámci plnění veřejné zakázky uspořádat exkurze pro školy nebo veřejnost?</w:t>
            </w:r>
          </w:p>
        </w:tc>
        <w:tc>
          <w:tcPr>
            <w:tcW w:w="2878" w:type="dxa"/>
          </w:tcPr>
          <w:p w14:paraId="3311266E" w14:textId="0BC8D0F8" w:rsidR="00C61EDA" w:rsidRPr="00FD27E4" w:rsidRDefault="00FF487D" w:rsidP="002B3D0D">
            <w:pPr>
              <w:spacing w:before="120" w:after="120"/>
              <w:jc w:val="both"/>
              <w:rPr>
                <w:rFonts w:ascii="Segoe UI" w:hAnsi="Segoe UI" w:cs="Segoe UI"/>
                <w:sz w:val="20"/>
                <w:szCs w:val="20"/>
              </w:rPr>
            </w:pPr>
            <w:r w:rsidRPr="00FD27E4">
              <w:rPr>
                <w:rFonts w:ascii="Segoe UI" w:hAnsi="Segoe UI" w:cs="Segoe UI"/>
                <w:sz w:val="20"/>
                <w:szCs w:val="20"/>
              </w:rPr>
              <w:t>Vzhledem k charakteru a rozsahu předmětu veřejné zakázky zadavatel</w:t>
            </w:r>
            <w:r w:rsidR="00C870C7" w:rsidRPr="00FD27E4">
              <w:rPr>
                <w:rFonts w:ascii="Segoe UI" w:hAnsi="Segoe UI" w:cs="Segoe UI"/>
                <w:sz w:val="20"/>
                <w:szCs w:val="20"/>
              </w:rPr>
              <w:t xml:space="preserve"> </w:t>
            </w:r>
            <w:r w:rsidRPr="00FD27E4">
              <w:rPr>
                <w:rFonts w:ascii="Segoe UI" w:hAnsi="Segoe UI" w:cs="Segoe UI"/>
                <w:sz w:val="20"/>
                <w:szCs w:val="20"/>
              </w:rPr>
              <w:t xml:space="preserve">exkurze </w:t>
            </w:r>
            <w:r w:rsidR="00897852" w:rsidRPr="00FD27E4">
              <w:rPr>
                <w:rFonts w:ascii="Segoe UI" w:hAnsi="Segoe UI" w:cs="Segoe UI"/>
                <w:sz w:val="20"/>
                <w:szCs w:val="20"/>
              </w:rPr>
              <w:t>nevylučuje</w:t>
            </w:r>
            <w:r w:rsidR="002B3D0D" w:rsidRPr="00FD27E4">
              <w:rPr>
                <w:rFonts w:ascii="Segoe UI" w:hAnsi="Segoe UI" w:cs="Segoe UI"/>
                <w:sz w:val="20"/>
                <w:szCs w:val="20"/>
              </w:rPr>
              <w:t>.</w:t>
            </w:r>
          </w:p>
        </w:tc>
        <w:tc>
          <w:tcPr>
            <w:tcW w:w="3510" w:type="dxa"/>
          </w:tcPr>
          <w:p w14:paraId="33FC0C6C" w14:textId="298E49DD" w:rsidR="00C61EDA" w:rsidRPr="00FD27E4" w:rsidRDefault="00506CFC" w:rsidP="005018D0">
            <w:pPr>
              <w:spacing w:before="120" w:after="120"/>
              <w:jc w:val="both"/>
              <w:rPr>
                <w:rFonts w:ascii="Segoe UI" w:hAnsi="Segoe UI" w:cs="Segoe UI"/>
                <w:bCs/>
                <w:sz w:val="20"/>
                <w:szCs w:val="20"/>
              </w:rPr>
            </w:pPr>
            <w:r>
              <w:rPr>
                <w:rFonts w:ascii="Segoe UI" w:hAnsi="Segoe UI" w:cs="Segoe UI"/>
                <w:bCs/>
                <w:sz w:val="20"/>
                <w:szCs w:val="20"/>
              </w:rPr>
              <w:t>Vzhledem k charakteru zakázky zadavatel nepředpokládá.</w:t>
            </w:r>
          </w:p>
        </w:tc>
      </w:tr>
      <w:tr w:rsidR="005222CF" w:rsidRPr="00FD27E4" w14:paraId="4DC81B0E" w14:textId="77777777" w:rsidTr="00FC3786">
        <w:tc>
          <w:tcPr>
            <w:tcW w:w="2900" w:type="dxa"/>
          </w:tcPr>
          <w:p w14:paraId="1E5CF3F2" w14:textId="68FEFED6" w:rsidR="00C61EDA" w:rsidRPr="00FD27E4" w:rsidRDefault="00C61EDA" w:rsidP="005222CF">
            <w:pPr>
              <w:spacing w:before="120" w:after="120"/>
              <w:jc w:val="both"/>
              <w:rPr>
                <w:rFonts w:ascii="Segoe UI" w:hAnsi="Segoe UI" w:cs="Segoe UI"/>
                <w:sz w:val="20"/>
                <w:szCs w:val="20"/>
              </w:rPr>
            </w:pPr>
            <w:r w:rsidRPr="00FD27E4">
              <w:rPr>
                <w:rFonts w:ascii="Segoe UI" w:hAnsi="Segoe UI" w:cs="Segoe UI"/>
                <w:sz w:val="20"/>
                <w:szCs w:val="20"/>
              </w:rPr>
              <w:t>4. Existuje zvýšené riziko, že při plnění veřejné zakázky bude docházet</w:t>
            </w:r>
            <w:r w:rsidR="00FC3786" w:rsidRPr="00FD27E4">
              <w:rPr>
                <w:rFonts w:ascii="Segoe UI" w:hAnsi="Segoe UI" w:cs="Segoe UI"/>
                <w:sz w:val="20"/>
                <w:szCs w:val="20"/>
              </w:rPr>
              <w:t xml:space="preserve"> </w:t>
            </w:r>
            <w:r w:rsidRPr="00FD27E4">
              <w:rPr>
                <w:rFonts w:ascii="Segoe UI" w:hAnsi="Segoe UI" w:cs="Segoe UI"/>
                <w:sz w:val="20"/>
                <w:szCs w:val="20"/>
              </w:rPr>
              <w:t xml:space="preserve">k porušování zákonného standardu pracovních podmínek dle zákoníku práce, právních </w:t>
            </w:r>
            <w:r w:rsidRPr="00FD27E4">
              <w:rPr>
                <w:rFonts w:ascii="Segoe UI" w:hAnsi="Segoe UI" w:cs="Segoe UI"/>
                <w:sz w:val="20"/>
                <w:szCs w:val="20"/>
              </w:rPr>
              <w:lastRenderedPageBreak/>
              <w:t>předpisů v oblasti zaměstnanosti a BOZP?</w:t>
            </w:r>
          </w:p>
        </w:tc>
        <w:tc>
          <w:tcPr>
            <w:tcW w:w="2878" w:type="dxa"/>
          </w:tcPr>
          <w:p w14:paraId="6F075757" w14:textId="71995B7A" w:rsidR="00C61EDA" w:rsidRPr="00FD27E4" w:rsidRDefault="00FC3786" w:rsidP="00FC3786">
            <w:pPr>
              <w:spacing w:before="120" w:after="120"/>
              <w:jc w:val="both"/>
              <w:rPr>
                <w:rFonts w:ascii="Segoe UI" w:hAnsi="Segoe UI" w:cs="Segoe UI"/>
                <w:sz w:val="20"/>
                <w:szCs w:val="20"/>
              </w:rPr>
            </w:pPr>
            <w:r w:rsidRPr="00FD27E4">
              <w:rPr>
                <w:rFonts w:ascii="Segoe UI" w:hAnsi="Segoe UI" w:cs="Segoe UI"/>
                <w:sz w:val="20"/>
                <w:szCs w:val="20"/>
              </w:rPr>
              <w:lastRenderedPageBreak/>
              <w:t xml:space="preserve">V rámci předmětu plnění veřejné zakázky nebylo vyhodnoceno zvýšené riziko porušování zákonného standardu pracovních podmínek dle zákoníku práce, </w:t>
            </w:r>
            <w:r w:rsidRPr="00FD27E4">
              <w:rPr>
                <w:rFonts w:ascii="Segoe UI" w:hAnsi="Segoe UI" w:cs="Segoe UI"/>
                <w:sz w:val="20"/>
                <w:szCs w:val="20"/>
              </w:rPr>
              <w:lastRenderedPageBreak/>
              <w:t xml:space="preserve">právních předpisů v oblasti zaměstnanosti a BOZP. </w:t>
            </w:r>
          </w:p>
        </w:tc>
        <w:tc>
          <w:tcPr>
            <w:tcW w:w="3510" w:type="dxa"/>
          </w:tcPr>
          <w:p w14:paraId="07AE88F0" w14:textId="5893CC49" w:rsidR="00C61EDA" w:rsidRPr="00FD27E4" w:rsidRDefault="00F736BB" w:rsidP="00E72F95">
            <w:pPr>
              <w:spacing w:before="120" w:after="120"/>
              <w:jc w:val="both"/>
              <w:rPr>
                <w:rFonts w:ascii="Segoe UI" w:hAnsi="Segoe UI" w:cs="Segoe UI"/>
                <w:sz w:val="20"/>
                <w:szCs w:val="20"/>
              </w:rPr>
            </w:pPr>
            <w:r w:rsidRPr="00EA71B8">
              <w:rPr>
                <w:rFonts w:ascii="Segoe UI" w:hAnsi="Segoe UI" w:cs="Segoe UI"/>
                <w:sz w:val="20"/>
                <w:szCs w:val="20"/>
              </w:rPr>
              <w:lastRenderedPageBreak/>
              <w:t>Zadavatel zapracoval do zadávacích podmínek pravidla pro eliminaci a předcházení obvyklým a často se vyskytujícím r</w:t>
            </w:r>
            <w:r w:rsidR="00FC3786" w:rsidRPr="00EA71B8">
              <w:rPr>
                <w:rFonts w:ascii="Segoe UI" w:hAnsi="Segoe UI" w:cs="Segoe UI"/>
                <w:sz w:val="20"/>
                <w:szCs w:val="20"/>
              </w:rPr>
              <w:t>izik</w:t>
            </w:r>
            <w:r w:rsidRPr="00EA71B8">
              <w:rPr>
                <w:rFonts w:ascii="Segoe UI" w:hAnsi="Segoe UI" w:cs="Segoe UI"/>
                <w:sz w:val="20"/>
                <w:szCs w:val="20"/>
              </w:rPr>
              <w:t>ům spojeným s nedo</w:t>
            </w:r>
            <w:r w:rsidR="00FC3786" w:rsidRPr="00EA71B8">
              <w:rPr>
                <w:rFonts w:ascii="Segoe UI" w:hAnsi="Segoe UI" w:cs="Segoe UI"/>
                <w:sz w:val="20"/>
                <w:szCs w:val="20"/>
              </w:rPr>
              <w:t>držování</w:t>
            </w:r>
            <w:r w:rsidRPr="00EA71B8">
              <w:rPr>
                <w:rFonts w:ascii="Segoe UI" w:hAnsi="Segoe UI" w:cs="Segoe UI"/>
                <w:sz w:val="20"/>
                <w:szCs w:val="20"/>
              </w:rPr>
              <w:t xml:space="preserve">m </w:t>
            </w:r>
            <w:r w:rsidR="00FC3786" w:rsidRPr="00EA71B8">
              <w:rPr>
                <w:rFonts w:ascii="Segoe UI" w:hAnsi="Segoe UI" w:cs="Segoe UI"/>
                <w:sz w:val="20"/>
                <w:szCs w:val="20"/>
              </w:rPr>
              <w:t>pracovněprávních předpisů</w:t>
            </w:r>
            <w:r w:rsidRPr="00EA71B8">
              <w:rPr>
                <w:rFonts w:ascii="Segoe UI" w:hAnsi="Segoe UI" w:cs="Segoe UI"/>
                <w:sz w:val="20"/>
                <w:szCs w:val="20"/>
              </w:rPr>
              <w:t xml:space="preserve">, </w:t>
            </w:r>
            <w:r w:rsidR="00FC3786" w:rsidRPr="00EA71B8">
              <w:rPr>
                <w:rFonts w:ascii="Segoe UI" w:hAnsi="Segoe UI" w:cs="Segoe UI"/>
                <w:sz w:val="20"/>
                <w:szCs w:val="20"/>
              </w:rPr>
              <w:t>předpisů</w:t>
            </w:r>
            <w:r w:rsidRPr="00EA71B8">
              <w:rPr>
                <w:rFonts w:ascii="Segoe UI" w:hAnsi="Segoe UI" w:cs="Segoe UI"/>
                <w:sz w:val="20"/>
                <w:szCs w:val="20"/>
              </w:rPr>
              <w:t xml:space="preserve"> </w:t>
            </w:r>
            <w:r w:rsidR="00FC3786" w:rsidRPr="00EA71B8">
              <w:rPr>
                <w:rFonts w:ascii="Segoe UI" w:hAnsi="Segoe UI" w:cs="Segoe UI"/>
                <w:sz w:val="20"/>
                <w:szCs w:val="20"/>
              </w:rPr>
              <w:t>v oblasti zaměstnanosti a BOZP</w:t>
            </w:r>
            <w:r w:rsidRPr="00EA71B8">
              <w:rPr>
                <w:rFonts w:ascii="Segoe UI" w:hAnsi="Segoe UI" w:cs="Segoe UI"/>
                <w:sz w:val="20"/>
                <w:szCs w:val="20"/>
              </w:rPr>
              <w:t xml:space="preserve">, a to ve formě </w:t>
            </w:r>
            <w:r w:rsidRPr="00EA71B8">
              <w:rPr>
                <w:rFonts w:ascii="Segoe UI" w:hAnsi="Segoe UI" w:cs="Segoe UI"/>
                <w:sz w:val="20"/>
                <w:szCs w:val="20"/>
              </w:rPr>
              <w:lastRenderedPageBreak/>
              <w:t>povinností dodavatele, dále nastavením kontrolních mechanismů a systému sankcí v rámci obchodních a smluvních podmínek.</w:t>
            </w:r>
          </w:p>
        </w:tc>
      </w:tr>
      <w:tr w:rsidR="005222CF" w:rsidRPr="00FD27E4" w14:paraId="20CC2AD1" w14:textId="77777777" w:rsidTr="00FC3786">
        <w:tc>
          <w:tcPr>
            <w:tcW w:w="2900" w:type="dxa"/>
          </w:tcPr>
          <w:p w14:paraId="10C2C6F3" w14:textId="77777777" w:rsidR="00C61EDA" w:rsidRPr="00FD27E4" w:rsidRDefault="00C61EDA" w:rsidP="005222CF">
            <w:pPr>
              <w:spacing w:before="120" w:after="120"/>
              <w:jc w:val="both"/>
              <w:rPr>
                <w:rFonts w:ascii="Segoe UI" w:hAnsi="Segoe UI" w:cs="Segoe UI"/>
                <w:sz w:val="20"/>
                <w:szCs w:val="20"/>
              </w:rPr>
            </w:pPr>
            <w:r w:rsidRPr="00FD27E4">
              <w:rPr>
                <w:rFonts w:ascii="Segoe UI" w:hAnsi="Segoe UI" w:cs="Segoe UI"/>
                <w:sz w:val="20"/>
                <w:szCs w:val="20"/>
              </w:rPr>
              <w:lastRenderedPageBreak/>
              <w:t>5. Je relevantní v rámci plnění veřejné zakázky hodnotit lepší pracovní podmínky osob podílejících se na plnění, nad rámec zákonného standardu pracovních podmínek?</w:t>
            </w:r>
          </w:p>
        </w:tc>
        <w:tc>
          <w:tcPr>
            <w:tcW w:w="2878" w:type="dxa"/>
          </w:tcPr>
          <w:p w14:paraId="1B570A1B" w14:textId="5FB1D745" w:rsidR="00C61EDA" w:rsidRPr="00FD27E4" w:rsidRDefault="00F736BB" w:rsidP="00E72F95">
            <w:pPr>
              <w:spacing w:before="120" w:after="120"/>
              <w:jc w:val="both"/>
              <w:rPr>
                <w:rFonts w:ascii="Segoe UI" w:hAnsi="Segoe UI" w:cs="Segoe UI"/>
                <w:sz w:val="20"/>
                <w:szCs w:val="20"/>
              </w:rPr>
            </w:pPr>
            <w:r w:rsidRPr="00FD27E4">
              <w:rPr>
                <w:rFonts w:ascii="Segoe UI" w:hAnsi="Segoe UI" w:cs="Segoe UI"/>
                <w:sz w:val="20"/>
                <w:szCs w:val="20"/>
              </w:rPr>
              <w:t>Tento aspekt byl vyhodnocen jako nerelevantní.</w:t>
            </w:r>
          </w:p>
        </w:tc>
        <w:tc>
          <w:tcPr>
            <w:tcW w:w="3510" w:type="dxa"/>
          </w:tcPr>
          <w:p w14:paraId="752B7FA1" w14:textId="3CEBD0CB" w:rsidR="00C61EDA" w:rsidRPr="00FD27E4" w:rsidRDefault="000330DB" w:rsidP="00E72F95">
            <w:pPr>
              <w:spacing w:before="120" w:after="120"/>
              <w:jc w:val="both"/>
              <w:rPr>
                <w:rFonts w:ascii="Segoe UI" w:hAnsi="Segoe UI" w:cs="Segoe UI"/>
                <w:sz w:val="20"/>
                <w:szCs w:val="20"/>
              </w:rPr>
            </w:pPr>
            <w:r w:rsidRPr="00FD27E4">
              <w:rPr>
                <w:rFonts w:ascii="Segoe UI" w:hAnsi="Segoe UI" w:cs="Segoe UI"/>
                <w:sz w:val="20"/>
                <w:szCs w:val="20"/>
              </w:rPr>
              <w:t>V rámci plnění předmětu veřejné zakázky zadavatel předpokládá ze strany dodavatele bezproblémové dodržování všech běžných zákonných standardů pracovních podmínek. Předmět plnění není dle názoru zadavatel spojen se zvláštními, nepřiměřeně náročnými či vysoce rizikovým pracemi. Hodnocení lepších pracovních podmínek tedy v kontextu výše uvedeného nepokládá zadavatel za účelné.</w:t>
            </w:r>
          </w:p>
        </w:tc>
      </w:tr>
      <w:tr w:rsidR="005222CF" w:rsidRPr="00FD27E4" w14:paraId="67A8CAE5" w14:textId="77777777" w:rsidTr="00FC3786">
        <w:tc>
          <w:tcPr>
            <w:tcW w:w="2900" w:type="dxa"/>
          </w:tcPr>
          <w:p w14:paraId="539359FC" w14:textId="77777777" w:rsidR="00C61EDA" w:rsidRPr="00FD27E4" w:rsidRDefault="00C61EDA" w:rsidP="005222CF">
            <w:pPr>
              <w:spacing w:before="120" w:after="120"/>
              <w:jc w:val="both"/>
              <w:rPr>
                <w:rFonts w:ascii="Segoe UI" w:hAnsi="Segoe UI" w:cs="Segoe UI"/>
                <w:sz w:val="20"/>
                <w:szCs w:val="20"/>
              </w:rPr>
            </w:pPr>
            <w:r w:rsidRPr="00FD27E4">
              <w:rPr>
                <w:rFonts w:ascii="Segoe UI" w:hAnsi="Segoe UI" w:cs="Segoe UI"/>
                <w:sz w:val="20"/>
                <w:szCs w:val="20"/>
              </w:rPr>
              <w:t>6. Existuje zvýšené riziko, že při plnění veřejné zakázky může docházet k porušování mezinárodních úmluv o lidských právech, sociálních či pracovních právech, zejména úmluv Mezinárodní organizace (ILO) uvedených v příloze X směrnice č. 2014/24/EU</w:t>
            </w:r>
            <w:r w:rsidR="005222CF" w:rsidRPr="00FD27E4">
              <w:rPr>
                <w:rStyle w:val="Znakapoznpodarou"/>
                <w:rFonts w:ascii="Segoe UI" w:hAnsi="Segoe UI" w:cs="Segoe UI"/>
                <w:sz w:val="20"/>
                <w:szCs w:val="20"/>
              </w:rPr>
              <w:footnoteReference w:id="1"/>
            </w:r>
            <w:r w:rsidRPr="00FD27E4">
              <w:rPr>
                <w:rFonts w:ascii="Segoe UI" w:hAnsi="Segoe UI" w:cs="Segoe UI"/>
                <w:sz w:val="20"/>
                <w:szCs w:val="20"/>
              </w:rPr>
              <w:t>?</w:t>
            </w:r>
          </w:p>
        </w:tc>
        <w:tc>
          <w:tcPr>
            <w:tcW w:w="2878" w:type="dxa"/>
          </w:tcPr>
          <w:p w14:paraId="56EFEC04" w14:textId="0A0FB0CD" w:rsidR="00C61EDA" w:rsidRPr="00FD27E4" w:rsidRDefault="000330DB" w:rsidP="00E72F95">
            <w:pPr>
              <w:spacing w:before="120" w:after="120"/>
              <w:jc w:val="both"/>
              <w:rPr>
                <w:rFonts w:ascii="Segoe UI" w:hAnsi="Segoe UI" w:cs="Segoe UI"/>
                <w:sz w:val="20"/>
                <w:szCs w:val="20"/>
              </w:rPr>
            </w:pPr>
            <w:r w:rsidRPr="00FD27E4">
              <w:rPr>
                <w:rFonts w:ascii="Segoe UI" w:hAnsi="Segoe UI" w:cs="Segoe UI"/>
                <w:sz w:val="20"/>
                <w:szCs w:val="20"/>
              </w:rPr>
              <w:t>Tento aspekt byl vyhodnocen jako nerelevantní.</w:t>
            </w:r>
          </w:p>
        </w:tc>
        <w:tc>
          <w:tcPr>
            <w:tcW w:w="3510" w:type="dxa"/>
          </w:tcPr>
          <w:p w14:paraId="4D3E3CA1" w14:textId="734C26EF" w:rsidR="00C61EDA" w:rsidRPr="00FD27E4" w:rsidRDefault="000330DB" w:rsidP="00E72F95">
            <w:pPr>
              <w:spacing w:before="120" w:after="120"/>
              <w:jc w:val="both"/>
              <w:rPr>
                <w:rFonts w:ascii="Segoe UI" w:hAnsi="Segoe UI" w:cs="Segoe UI"/>
                <w:sz w:val="20"/>
                <w:szCs w:val="20"/>
              </w:rPr>
            </w:pPr>
            <w:r w:rsidRPr="00FD27E4">
              <w:rPr>
                <w:rFonts w:ascii="Segoe UI" w:hAnsi="Segoe UI" w:cs="Segoe UI"/>
                <w:sz w:val="20"/>
                <w:szCs w:val="20"/>
              </w:rPr>
              <w:t xml:space="preserve">Vzhledem k předmětu veřejné zakázky a jeho rozsahu není zadavateli </w:t>
            </w:r>
            <w:r w:rsidR="001F3098" w:rsidRPr="00FD27E4">
              <w:rPr>
                <w:rFonts w:ascii="Segoe UI" w:hAnsi="Segoe UI" w:cs="Segoe UI"/>
                <w:sz w:val="20"/>
                <w:szCs w:val="20"/>
              </w:rPr>
              <w:t>známo, že by mohlo dojít k porušování mezinárodních úmluv.</w:t>
            </w:r>
          </w:p>
        </w:tc>
      </w:tr>
      <w:tr w:rsidR="005222CF" w:rsidRPr="00FD27E4" w14:paraId="11BD56CA" w14:textId="77777777" w:rsidTr="00FC3786">
        <w:tc>
          <w:tcPr>
            <w:tcW w:w="2900" w:type="dxa"/>
          </w:tcPr>
          <w:p w14:paraId="517CAE4C" w14:textId="77777777" w:rsidR="00C61EDA" w:rsidRPr="00FD27E4" w:rsidRDefault="00C07704" w:rsidP="005222CF">
            <w:pPr>
              <w:spacing w:before="120" w:after="120"/>
              <w:jc w:val="both"/>
              <w:rPr>
                <w:rFonts w:ascii="Segoe UI" w:hAnsi="Segoe UI" w:cs="Segoe UI"/>
                <w:sz w:val="20"/>
                <w:szCs w:val="20"/>
              </w:rPr>
            </w:pPr>
            <w:r w:rsidRPr="00FD27E4">
              <w:rPr>
                <w:rFonts w:ascii="Segoe UI" w:hAnsi="Segoe UI" w:cs="Segoe UI"/>
                <w:sz w:val="20"/>
                <w:szCs w:val="20"/>
              </w:rPr>
              <w:t>7. Mohou</w:t>
            </w:r>
            <w:r w:rsidR="00C61EDA" w:rsidRPr="00FD27E4">
              <w:rPr>
                <w:rFonts w:ascii="Segoe UI" w:hAnsi="Segoe UI" w:cs="Segoe UI"/>
                <w:sz w:val="20"/>
                <w:szCs w:val="20"/>
              </w:rPr>
              <w:t xml:space="preserve"> plnění veřejné zaká</w:t>
            </w:r>
            <w:r w:rsidRPr="00FD27E4">
              <w:rPr>
                <w:rFonts w:ascii="Segoe UI" w:hAnsi="Segoe UI" w:cs="Segoe UI"/>
                <w:sz w:val="20"/>
                <w:szCs w:val="20"/>
              </w:rPr>
              <w:t>zky (nebo její části) poskytnout sociální podniky</w:t>
            </w:r>
            <w:r w:rsidR="005222CF" w:rsidRPr="00FD27E4">
              <w:rPr>
                <w:rStyle w:val="Znakapoznpodarou"/>
                <w:rFonts w:ascii="Segoe UI" w:hAnsi="Segoe UI" w:cs="Segoe UI"/>
                <w:sz w:val="20"/>
                <w:szCs w:val="20"/>
              </w:rPr>
              <w:footnoteReference w:id="2"/>
            </w:r>
            <w:r w:rsidRPr="00FD27E4">
              <w:rPr>
                <w:rFonts w:ascii="Segoe UI" w:hAnsi="Segoe UI" w:cs="Segoe UI"/>
                <w:sz w:val="20"/>
                <w:szCs w:val="20"/>
              </w:rPr>
              <w:t xml:space="preserve"> (případně se na plnění podílet jako poddodavatelé)? Je vhodné přijmout taková opatření, aby se zlepšil jejich přístup k účasti ve veřejné zakázce?</w:t>
            </w:r>
          </w:p>
        </w:tc>
        <w:tc>
          <w:tcPr>
            <w:tcW w:w="2878" w:type="dxa"/>
          </w:tcPr>
          <w:p w14:paraId="37378429" w14:textId="34CEDEA8" w:rsidR="00C61EDA" w:rsidRPr="00FD27E4" w:rsidRDefault="00506CFC" w:rsidP="005F7FEC">
            <w:pPr>
              <w:spacing w:before="120" w:after="120"/>
              <w:jc w:val="both"/>
              <w:rPr>
                <w:rFonts w:ascii="Segoe UI" w:hAnsi="Segoe UI" w:cs="Segoe UI"/>
                <w:sz w:val="20"/>
                <w:szCs w:val="20"/>
              </w:rPr>
            </w:pPr>
            <w:r>
              <w:rPr>
                <w:rFonts w:ascii="Segoe UI" w:hAnsi="Segoe UI" w:cs="Segoe UI"/>
                <w:sz w:val="20"/>
                <w:szCs w:val="20"/>
              </w:rPr>
              <w:t>Tento aspekt vyhodnocen jako nerelevantní.</w:t>
            </w:r>
          </w:p>
        </w:tc>
        <w:tc>
          <w:tcPr>
            <w:tcW w:w="3510" w:type="dxa"/>
          </w:tcPr>
          <w:p w14:paraId="67D5D79B" w14:textId="4FB2600F" w:rsidR="00C61EDA" w:rsidRPr="00FD27E4" w:rsidRDefault="00D376BE" w:rsidP="00D376BE">
            <w:pPr>
              <w:spacing w:before="120" w:after="120"/>
              <w:jc w:val="both"/>
              <w:rPr>
                <w:rFonts w:ascii="Segoe UI" w:hAnsi="Segoe UI" w:cs="Segoe UI"/>
                <w:sz w:val="20"/>
                <w:szCs w:val="20"/>
              </w:rPr>
            </w:pPr>
            <w:r>
              <w:rPr>
                <w:rFonts w:ascii="Segoe UI" w:hAnsi="Segoe UI" w:cs="Segoe UI"/>
                <w:sz w:val="20"/>
                <w:szCs w:val="20"/>
              </w:rPr>
              <w:t>Vzhledem k malému počtu sociálních podniků v daných oborech se zadavatel rozhodl, že v tomto ohledu nebude soutěž omezovat.</w:t>
            </w:r>
          </w:p>
        </w:tc>
      </w:tr>
      <w:tr w:rsidR="00653C56" w:rsidRPr="00FD27E4" w14:paraId="1168DBF2" w14:textId="77777777" w:rsidTr="00FC3786">
        <w:tc>
          <w:tcPr>
            <w:tcW w:w="2900" w:type="dxa"/>
          </w:tcPr>
          <w:p w14:paraId="61D5740F" w14:textId="52B32B2F" w:rsidR="00653C56" w:rsidRPr="00FD27E4" w:rsidRDefault="00653C56" w:rsidP="00653C56">
            <w:pPr>
              <w:spacing w:before="120" w:after="120"/>
              <w:jc w:val="both"/>
              <w:rPr>
                <w:rFonts w:ascii="Segoe UI" w:hAnsi="Segoe UI" w:cs="Segoe UI"/>
                <w:bCs/>
                <w:sz w:val="20"/>
                <w:szCs w:val="20"/>
              </w:rPr>
            </w:pPr>
            <w:r w:rsidRPr="00FD27E4">
              <w:rPr>
                <w:rFonts w:ascii="Segoe UI" w:hAnsi="Segoe UI" w:cs="Segoe UI"/>
                <w:sz w:val="20"/>
                <w:szCs w:val="20"/>
              </w:rPr>
              <w:t xml:space="preserve">8. </w:t>
            </w:r>
            <w:r w:rsidRPr="00FD27E4">
              <w:rPr>
                <w:rFonts w:ascii="Segoe UI" w:hAnsi="Segoe UI" w:cs="Segoe UI"/>
                <w:bCs/>
                <w:sz w:val="20"/>
                <w:szCs w:val="20"/>
              </w:rPr>
              <w:t xml:space="preserve"> Mohou veřejnou zakázku nebo její část plnit malé a střední podniky (případně se na plnění podílet jako poddodavatelé)? Je vhodné přijmout taková opatření, ab</w:t>
            </w:r>
            <w:r w:rsidR="000F4D02">
              <w:rPr>
                <w:rFonts w:ascii="Segoe UI" w:hAnsi="Segoe UI" w:cs="Segoe UI"/>
                <w:bCs/>
                <w:sz w:val="20"/>
                <w:szCs w:val="20"/>
              </w:rPr>
              <w:t>y</w:t>
            </w:r>
            <w:r w:rsidRPr="00FD27E4">
              <w:rPr>
                <w:rFonts w:ascii="Segoe UI" w:hAnsi="Segoe UI" w:cs="Segoe UI"/>
                <w:bCs/>
                <w:sz w:val="20"/>
                <w:szCs w:val="20"/>
              </w:rPr>
              <w:t xml:space="preserve"> se zlepšil jejich přístup k účasti na veřejné zakázce?</w:t>
            </w:r>
          </w:p>
        </w:tc>
        <w:tc>
          <w:tcPr>
            <w:tcW w:w="2878" w:type="dxa"/>
          </w:tcPr>
          <w:p w14:paraId="54D23BF0" w14:textId="440F61BF" w:rsidR="00653C56" w:rsidRPr="00FD27E4" w:rsidRDefault="00653C56" w:rsidP="002B3D0D">
            <w:pPr>
              <w:spacing w:before="120" w:after="120"/>
              <w:jc w:val="both"/>
              <w:rPr>
                <w:rFonts w:ascii="Segoe UI" w:hAnsi="Segoe UI" w:cs="Segoe UI"/>
                <w:sz w:val="20"/>
                <w:szCs w:val="20"/>
              </w:rPr>
            </w:pPr>
            <w:r w:rsidRPr="00FD27E4">
              <w:rPr>
                <w:rFonts w:ascii="Segoe UI" w:hAnsi="Segoe UI" w:cs="Segoe UI"/>
                <w:sz w:val="20"/>
                <w:szCs w:val="20"/>
              </w:rPr>
              <w:t>Tento aspekt byl vyhodnocen jako relevantní. Zadavatel předpokládá účast</w:t>
            </w:r>
            <w:r w:rsidR="00506CFC">
              <w:rPr>
                <w:rFonts w:ascii="Segoe UI" w:hAnsi="Segoe UI" w:cs="Segoe UI"/>
                <w:sz w:val="20"/>
                <w:szCs w:val="20"/>
              </w:rPr>
              <w:t xml:space="preserve"> středních a menších podniků.</w:t>
            </w:r>
            <w:r w:rsidRPr="00FD27E4">
              <w:rPr>
                <w:rFonts w:ascii="Segoe UI" w:hAnsi="Segoe UI" w:cs="Segoe UI"/>
                <w:sz w:val="20"/>
                <w:szCs w:val="20"/>
              </w:rPr>
              <w:t xml:space="preserve"> </w:t>
            </w:r>
          </w:p>
        </w:tc>
        <w:tc>
          <w:tcPr>
            <w:tcW w:w="3510" w:type="dxa"/>
          </w:tcPr>
          <w:p w14:paraId="205253E3" w14:textId="185A3224" w:rsidR="00653C56" w:rsidRPr="00FD27E4" w:rsidRDefault="00653C56" w:rsidP="00653C56">
            <w:pPr>
              <w:spacing w:before="120" w:after="120"/>
              <w:jc w:val="both"/>
              <w:rPr>
                <w:rFonts w:ascii="Segoe UI" w:hAnsi="Segoe UI" w:cs="Segoe UI"/>
                <w:sz w:val="20"/>
                <w:szCs w:val="20"/>
              </w:rPr>
            </w:pPr>
            <w:r w:rsidRPr="00FD27E4">
              <w:rPr>
                <w:rFonts w:ascii="Segoe UI" w:hAnsi="Segoe UI" w:cs="Segoe UI"/>
                <w:sz w:val="20"/>
                <w:szCs w:val="20"/>
              </w:rPr>
              <w:t xml:space="preserve">Zadavatel nastavením zadávacích podmínek (vč. podmínek účasti) nevytváří žádné nepřiměřené administrativní či jiné překážky spojené s podáním nabídky a účastí na plnění veřejné zakázky. Zadavatel v maximální možné míře poskytuje jako součást zadávacích podmínek účastníkům většinu požadovaných </w:t>
            </w:r>
            <w:r w:rsidRPr="00FD27E4">
              <w:rPr>
                <w:rFonts w:ascii="Segoe UI" w:hAnsi="Segoe UI" w:cs="Segoe UI"/>
                <w:sz w:val="20"/>
                <w:szCs w:val="20"/>
              </w:rPr>
              <w:lastRenderedPageBreak/>
              <w:t>dokumentů vzorem, čímž zlepšuje podmínky jejich přístupu k účasti na veřejné zakázce.</w:t>
            </w:r>
            <w:r w:rsidR="00DD537A">
              <w:rPr>
                <w:rFonts w:ascii="Segoe UI" w:hAnsi="Segoe UI" w:cs="Segoe UI"/>
                <w:sz w:val="20"/>
                <w:szCs w:val="20"/>
              </w:rPr>
              <w:t xml:space="preserve"> I zadávací podmínky jsou z tohoto pohledu nastaveny mírně.</w:t>
            </w:r>
          </w:p>
        </w:tc>
      </w:tr>
      <w:tr w:rsidR="00653C56" w:rsidRPr="00FD27E4" w14:paraId="73DD20EB" w14:textId="77777777" w:rsidTr="00FC3786">
        <w:tc>
          <w:tcPr>
            <w:tcW w:w="2900" w:type="dxa"/>
          </w:tcPr>
          <w:p w14:paraId="27B73211" w14:textId="135DEBCC" w:rsidR="00653C56" w:rsidRPr="00FD27E4" w:rsidRDefault="00653C56" w:rsidP="00653C56">
            <w:pPr>
              <w:spacing w:before="120" w:after="120"/>
              <w:jc w:val="both"/>
              <w:rPr>
                <w:rFonts w:ascii="Segoe UI" w:hAnsi="Segoe UI" w:cs="Segoe UI"/>
                <w:sz w:val="20"/>
                <w:szCs w:val="20"/>
              </w:rPr>
            </w:pPr>
            <w:r w:rsidRPr="00FD27E4">
              <w:rPr>
                <w:rFonts w:ascii="Segoe UI" w:hAnsi="Segoe UI" w:cs="Segoe UI"/>
                <w:sz w:val="20"/>
                <w:szCs w:val="20"/>
              </w:rPr>
              <w:lastRenderedPageBreak/>
              <w:t>9. Existuje zvýšené riziko problémových vztahů v dodavatelském řetězci, zejména pro malé a střední podniky, jako např. opožděná splatnost faktur, nelegální zaměstnávání osob, porušování BOZP, nedodržování právních předpisů o ochraně životního prostředí apod.?</w:t>
            </w:r>
          </w:p>
        </w:tc>
        <w:tc>
          <w:tcPr>
            <w:tcW w:w="2878" w:type="dxa"/>
          </w:tcPr>
          <w:p w14:paraId="3A086FDF" w14:textId="2E856A73" w:rsidR="00653C56" w:rsidRPr="00FD27E4" w:rsidRDefault="00653C56" w:rsidP="00653C56">
            <w:pPr>
              <w:spacing w:before="120" w:after="120"/>
              <w:jc w:val="both"/>
              <w:rPr>
                <w:rFonts w:ascii="Segoe UI" w:hAnsi="Segoe UI" w:cs="Segoe UI"/>
                <w:sz w:val="20"/>
                <w:szCs w:val="20"/>
              </w:rPr>
            </w:pPr>
            <w:r w:rsidRPr="00FD27E4">
              <w:rPr>
                <w:rFonts w:ascii="Segoe UI" w:hAnsi="Segoe UI" w:cs="Segoe UI"/>
                <w:sz w:val="20"/>
                <w:szCs w:val="20"/>
              </w:rPr>
              <w:t xml:space="preserve">V rámci předmětu plnění veřejné zakázky nebylo vyhodnoceno zvýšené riziko problémových vztahů v dodavatelském řetězci. </w:t>
            </w:r>
          </w:p>
        </w:tc>
        <w:tc>
          <w:tcPr>
            <w:tcW w:w="3510" w:type="dxa"/>
          </w:tcPr>
          <w:p w14:paraId="70B8929A" w14:textId="6CF5D28C" w:rsidR="00653C56" w:rsidRPr="00FD27E4" w:rsidRDefault="00653C56" w:rsidP="00653C56">
            <w:pPr>
              <w:spacing w:before="120" w:after="120"/>
              <w:jc w:val="both"/>
              <w:rPr>
                <w:rFonts w:ascii="Segoe UI" w:hAnsi="Segoe UI" w:cs="Segoe UI"/>
                <w:sz w:val="20"/>
                <w:szCs w:val="20"/>
              </w:rPr>
            </w:pPr>
            <w:r w:rsidRPr="00EC3C13">
              <w:rPr>
                <w:rFonts w:ascii="Segoe UI" w:hAnsi="Segoe UI" w:cs="Segoe UI"/>
                <w:sz w:val="20"/>
                <w:szCs w:val="20"/>
              </w:rPr>
              <w:t xml:space="preserve">Zadavatel zapracoval do zadávacích podmínek pravidla pro eliminaci a předcházení nejčastěji se vyskytujícím problémům v dodavatelském řetězci, kterými jsou zejména porušování předpisů </w:t>
            </w:r>
            <w:proofErr w:type="gramStart"/>
            <w:r w:rsidRPr="00EC3C13">
              <w:rPr>
                <w:rFonts w:ascii="Segoe UI" w:hAnsi="Segoe UI" w:cs="Segoe UI"/>
                <w:sz w:val="20"/>
                <w:szCs w:val="20"/>
              </w:rPr>
              <w:t>BOZP,</w:t>
            </w:r>
            <w:proofErr w:type="gramEnd"/>
            <w:r w:rsidRPr="00EC3C13">
              <w:rPr>
                <w:rFonts w:ascii="Segoe UI" w:hAnsi="Segoe UI" w:cs="Segoe UI"/>
                <w:sz w:val="20"/>
                <w:szCs w:val="20"/>
              </w:rPr>
              <w:t xml:space="preserve"> apod., a to formou povinností dodavatele ve vztahu k jeho poddodavatelům, nastavením kontrolních mechanismů a sankcí v rámci smluvních a obchodních podmínek.</w:t>
            </w:r>
          </w:p>
        </w:tc>
      </w:tr>
      <w:tr w:rsidR="005222CF" w:rsidRPr="00FD27E4" w14:paraId="7A40C043" w14:textId="77777777" w:rsidTr="00FC3786">
        <w:tc>
          <w:tcPr>
            <w:tcW w:w="2900" w:type="dxa"/>
          </w:tcPr>
          <w:p w14:paraId="0544C4B2" w14:textId="7AC8A77F" w:rsidR="00C61EDA" w:rsidRPr="00FD27E4" w:rsidRDefault="00653C56" w:rsidP="005222CF">
            <w:pPr>
              <w:spacing w:before="120" w:after="120"/>
              <w:jc w:val="both"/>
              <w:rPr>
                <w:rFonts w:ascii="Segoe UI" w:hAnsi="Segoe UI" w:cs="Segoe UI"/>
                <w:sz w:val="20"/>
                <w:szCs w:val="20"/>
              </w:rPr>
            </w:pPr>
            <w:r w:rsidRPr="00FD27E4">
              <w:rPr>
                <w:rFonts w:ascii="Segoe UI" w:hAnsi="Segoe UI" w:cs="Segoe UI"/>
                <w:sz w:val="20"/>
                <w:szCs w:val="20"/>
              </w:rPr>
              <w:t>10</w:t>
            </w:r>
            <w:r w:rsidR="00C07704" w:rsidRPr="00FD27E4">
              <w:rPr>
                <w:rFonts w:ascii="Segoe UI" w:hAnsi="Segoe UI" w:cs="Segoe UI"/>
                <w:sz w:val="20"/>
                <w:szCs w:val="20"/>
              </w:rPr>
              <w:t xml:space="preserve">. Existuje ekonomicky přijatelné řešení, které umožní získat plnění šetrnější k životnímu prostředí, zejména řešení, které povede k omezení spotřeby energií, vody, surovin, produkce znečišťujících látek uvolňovaných do ovzduší, vody, půdy, omezení uhlíkové </w:t>
            </w:r>
            <w:proofErr w:type="gramStart"/>
            <w:r w:rsidR="00C07704" w:rsidRPr="00FD27E4">
              <w:rPr>
                <w:rFonts w:ascii="Segoe UI" w:hAnsi="Segoe UI" w:cs="Segoe UI"/>
                <w:sz w:val="20"/>
                <w:szCs w:val="20"/>
              </w:rPr>
              <w:t>stopy,</w:t>
            </w:r>
            <w:proofErr w:type="gramEnd"/>
            <w:r w:rsidR="00C07704" w:rsidRPr="00FD27E4">
              <w:rPr>
                <w:rFonts w:ascii="Segoe UI" w:hAnsi="Segoe UI" w:cs="Segoe UI"/>
                <w:sz w:val="20"/>
                <w:szCs w:val="20"/>
              </w:rPr>
              <w:t xml:space="preserve"> apod.?</w:t>
            </w:r>
          </w:p>
        </w:tc>
        <w:tc>
          <w:tcPr>
            <w:tcW w:w="2878" w:type="dxa"/>
          </w:tcPr>
          <w:p w14:paraId="3A3A94BD" w14:textId="3EA294D7" w:rsidR="00C61EDA" w:rsidRPr="00FD27E4" w:rsidRDefault="00506CFC" w:rsidP="00506CFC">
            <w:pPr>
              <w:pStyle w:val="Default"/>
              <w:jc w:val="both"/>
              <w:rPr>
                <w:rFonts w:ascii="Segoe UI" w:hAnsi="Segoe UI" w:cs="Segoe UI"/>
                <w:sz w:val="20"/>
                <w:szCs w:val="20"/>
              </w:rPr>
            </w:pPr>
            <w:r>
              <w:rPr>
                <w:rFonts w:ascii="Segoe UI" w:hAnsi="Segoe UI" w:cs="Segoe UI"/>
                <w:sz w:val="20"/>
                <w:szCs w:val="20"/>
              </w:rPr>
              <w:t>Je dáno technickou specifikací požadovaného vozidla.</w:t>
            </w:r>
          </w:p>
        </w:tc>
        <w:tc>
          <w:tcPr>
            <w:tcW w:w="3510" w:type="dxa"/>
          </w:tcPr>
          <w:p w14:paraId="7468F9B6" w14:textId="7D7101BB" w:rsidR="00C61EDA" w:rsidRPr="00FD27E4" w:rsidRDefault="00DD537A" w:rsidP="00011DF4">
            <w:pPr>
              <w:spacing w:before="120" w:after="120"/>
              <w:jc w:val="both"/>
              <w:rPr>
                <w:rFonts w:ascii="Segoe UI" w:hAnsi="Segoe UI" w:cs="Segoe UI"/>
                <w:sz w:val="20"/>
                <w:szCs w:val="20"/>
              </w:rPr>
            </w:pPr>
            <w:r>
              <w:rPr>
                <w:rFonts w:ascii="Segoe UI" w:hAnsi="Segoe UI" w:cs="Segoe UI"/>
                <w:sz w:val="20"/>
                <w:szCs w:val="20"/>
              </w:rPr>
              <w:t>Zadavatel předpokládá použití výrobků s běžnými parametry</w:t>
            </w:r>
            <w:r w:rsidR="00506CFC">
              <w:rPr>
                <w:rFonts w:ascii="Segoe UI" w:hAnsi="Segoe UI" w:cs="Segoe UI"/>
                <w:sz w:val="20"/>
                <w:szCs w:val="20"/>
              </w:rPr>
              <w:t xml:space="preserve"> s požadavkem např. na ochranu životního prostředí – např. min. EURO 5.</w:t>
            </w:r>
          </w:p>
        </w:tc>
      </w:tr>
      <w:tr w:rsidR="005222CF" w:rsidRPr="00FD27E4" w14:paraId="64D57B17" w14:textId="77777777" w:rsidTr="00FC3786">
        <w:tc>
          <w:tcPr>
            <w:tcW w:w="2900" w:type="dxa"/>
          </w:tcPr>
          <w:p w14:paraId="211CC201" w14:textId="5A6F862D" w:rsidR="00C61EDA" w:rsidRPr="00FD27E4" w:rsidRDefault="00C07704" w:rsidP="005222CF">
            <w:pPr>
              <w:spacing w:before="120" w:after="120"/>
              <w:jc w:val="both"/>
              <w:rPr>
                <w:rFonts w:ascii="Segoe UI" w:hAnsi="Segoe UI" w:cs="Segoe UI"/>
                <w:sz w:val="20"/>
                <w:szCs w:val="20"/>
              </w:rPr>
            </w:pPr>
            <w:r w:rsidRPr="00FD27E4">
              <w:rPr>
                <w:rFonts w:ascii="Segoe UI" w:hAnsi="Segoe UI" w:cs="Segoe UI"/>
                <w:sz w:val="20"/>
                <w:szCs w:val="20"/>
              </w:rPr>
              <w:t>1</w:t>
            </w:r>
            <w:r w:rsidR="00653C56" w:rsidRPr="00FD27E4">
              <w:rPr>
                <w:rFonts w:ascii="Segoe UI" w:hAnsi="Segoe UI" w:cs="Segoe UI"/>
                <w:sz w:val="20"/>
                <w:szCs w:val="20"/>
              </w:rPr>
              <w:t>1</w:t>
            </w:r>
            <w:r w:rsidRPr="00FD27E4">
              <w:rPr>
                <w:rFonts w:ascii="Segoe UI" w:hAnsi="Segoe UI" w:cs="Segoe UI"/>
                <w:sz w:val="20"/>
                <w:szCs w:val="20"/>
              </w:rPr>
              <w:t xml:space="preserve">. Existuje ekonomicky přijatelné řešení, které umožní využití obnovitelných zdrojů, recyklovaných surovin, </w:t>
            </w:r>
            <w:r w:rsidR="005222CF" w:rsidRPr="00FD27E4">
              <w:rPr>
                <w:rFonts w:ascii="Segoe UI" w:hAnsi="Segoe UI" w:cs="Segoe UI"/>
                <w:sz w:val="20"/>
                <w:szCs w:val="20"/>
              </w:rPr>
              <w:t>snížení množství odpadu, zohlednění nákladů životního cyklu či zapojení jiných aspektů cirkulární ekonomiky</w:t>
            </w:r>
            <w:r w:rsidR="005222CF" w:rsidRPr="00FD27E4">
              <w:rPr>
                <w:rStyle w:val="Znakapoznpodarou"/>
                <w:rFonts w:ascii="Segoe UI" w:hAnsi="Segoe UI" w:cs="Segoe UI"/>
                <w:sz w:val="20"/>
                <w:szCs w:val="20"/>
              </w:rPr>
              <w:footnoteReference w:id="3"/>
            </w:r>
            <w:r w:rsidR="005222CF" w:rsidRPr="00FD27E4">
              <w:rPr>
                <w:rFonts w:ascii="Segoe UI" w:hAnsi="Segoe UI" w:cs="Segoe UI"/>
                <w:sz w:val="20"/>
                <w:szCs w:val="20"/>
              </w:rPr>
              <w:t>?</w:t>
            </w:r>
          </w:p>
        </w:tc>
        <w:tc>
          <w:tcPr>
            <w:tcW w:w="2878" w:type="dxa"/>
          </w:tcPr>
          <w:p w14:paraId="674B56FC" w14:textId="015C8408" w:rsidR="00C61EDA" w:rsidRPr="00FD27E4" w:rsidRDefault="00DD537A" w:rsidP="00DD537A">
            <w:pPr>
              <w:spacing w:before="120" w:after="120"/>
              <w:jc w:val="both"/>
              <w:rPr>
                <w:rFonts w:ascii="Segoe UI" w:hAnsi="Segoe UI" w:cs="Segoe UI"/>
                <w:sz w:val="20"/>
                <w:szCs w:val="20"/>
              </w:rPr>
            </w:pPr>
            <w:r>
              <w:rPr>
                <w:rFonts w:ascii="Segoe UI" w:hAnsi="Segoe UI" w:cs="Segoe UI"/>
                <w:sz w:val="20"/>
                <w:szCs w:val="20"/>
              </w:rPr>
              <w:t>Zadavatel vyhodnotil, že není třeba stanovovat přísnější pravidla, než vycházející z platné legislativy a norem.</w:t>
            </w:r>
          </w:p>
        </w:tc>
        <w:tc>
          <w:tcPr>
            <w:tcW w:w="3510" w:type="dxa"/>
          </w:tcPr>
          <w:p w14:paraId="5054EB58" w14:textId="22AECEAA" w:rsidR="00C61EDA" w:rsidRPr="00FD27E4" w:rsidRDefault="00126786" w:rsidP="00011DF4">
            <w:pPr>
              <w:spacing w:before="120" w:after="120"/>
              <w:jc w:val="both"/>
              <w:rPr>
                <w:rFonts w:ascii="Segoe UI" w:hAnsi="Segoe UI" w:cs="Segoe UI"/>
                <w:sz w:val="20"/>
                <w:szCs w:val="20"/>
              </w:rPr>
            </w:pPr>
            <w:r>
              <w:rPr>
                <w:rFonts w:ascii="Segoe UI" w:hAnsi="Segoe UI" w:cs="Segoe UI"/>
                <w:sz w:val="20"/>
                <w:szCs w:val="20"/>
              </w:rPr>
              <w:t>Zadavatel v tomto ohledu nepřijímá žádná opatření.</w:t>
            </w:r>
          </w:p>
        </w:tc>
      </w:tr>
      <w:tr w:rsidR="005222CF" w:rsidRPr="00FD27E4" w14:paraId="0A6A4E9A" w14:textId="77777777" w:rsidTr="00FC3786">
        <w:tc>
          <w:tcPr>
            <w:tcW w:w="2900" w:type="dxa"/>
          </w:tcPr>
          <w:p w14:paraId="6CDFFF50" w14:textId="2DF25213" w:rsidR="005222CF" w:rsidRPr="00FD27E4" w:rsidRDefault="005222CF" w:rsidP="005222CF">
            <w:pPr>
              <w:spacing w:before="120" w:after="120"/>
              <w:jc w:val="both"/>
              <w:rPr>
                <w:rFonts w:ascii="Segoe UI" w:hAnsi="Segoe UI" w:cs="Segoe UI"/>
                <w:sz w:val="20"/>
                <w:szCs w:val="20"/>
              </w:rPr>
            </w:pPr>
            <w:r w:rsidRPr="00FD27E4">
              <w:rPr>
                <w:rFonts w:ascii="Segoe UI" w:hAnsi="Segoe UI" w:cs="Segoe UI"/>
                <w:sz w:val="20"/>
                <w:szCs w:val="20"/>
              </w:rPr>
              <w:t>1</w:t>
            </w:r>
            <w:r w:rsidR="00653C56" w:rsidRPr="00FD27E4">
              <w:rPr>
                <w:rFonts w:ascii="Segoe UI" w:hAnsi="Segoe UI" w:cs="Segoe UI"/>
                <w:sz w:val="20"/>
                <w:szCs w:val="20"/>
              </w:rPr>
              <w:t>2</w:t>
            </w:r>
            <w:r w:rsidRPr="00FD27E4">
              <w:rPr>
                <w:rFonts w:ascii="Segoe UI" w:hAnsi="Segoe UI" w:cs="Segoe UI"/>
                <w:sz w:val="20"/>
                <w:szCs w:val="20"/>
              </w:rPr>
              <w:t>. Existuje ekonomicky přijatelné řešení pro inovaci, tedy pro implementaci nového nebo značně zlepšeného produktu, služby nebo postupu souvisejícího s předmětem veřejné zakázky?</w:t>
            </w:r>
          </w:p>
        </w:tc>
        <w:tc>
          <w:tcPr>
            <w:tcW w:w="2878" w:type="dxa"/>
          </w:tcPr>
          <w:p w14:paraId="685297B9" w14:textId="613BBB2A" w:rsidR="00DD537A" w:rsidRPr="00FD27E4" w:rsidRDefault="00D70343" w:rsidP="00E72F95">
            <w:pPr>
              <w:spacing w:before="120" w:after="120"/>
              <w:jc w:val="both"/>
              <w:rPr>
                <w:rFonts w:ascii="Segoe UI" w:hAnsi="Segoe UI" w:cs="Segoe UI"/>
                <w:sz w:val="20"/>
                <w:szCs w:val="20"/>
              </w:rPr>
            </w:pPr>
            <w:r w:rsidRPr="00FD27E4">
              <w:rPr>
                <w:rFonts w:ascii="Segoe UI" w:hAnsi="Segoe UI" w:cs="Segoe UI"/>
                <w:sz w:val="20"/>
                <w:szCs w:val="20"/>
              </w:rPr>
              <w:t xml:space="preserve">Tento aspekt byl vyhodnocen jako </w:t>
            </w:r>
            <w:r w:rsidR="00DD537A">
              <w:rPr>
                <w:rFonts w:ascii="Segoe UI" w:hAnsi="Segoe UI" w:cs="Segoe UI"/>
                <w:sz w:val="20"/>
                <w:szCs w:val="20"/>
              </w:rPr>
              <w:t xml:space="preserve">spíše nerelevantní. Je však možné, že v rámci dodávky </w:t>
            </w:r>
            <w:r w:rsidR="00506CFC">
              <w:rPr>
                <w:rFonts w:ascii="Segoe UI" w:hAnsi="Segoe UI" w:cs="Segoe UI"/>
                <w:sz w:val="20"/>
                <w:szCs w:val="20"/>
              </w:rPr>
              <w:t>CAS</w:t>
            </w:r>
            <w:r w:rsidR="00DD537A">
              <w:rPr>
                <w:rFonts w:ascii="Segoe UI" w:hAnsi="Segoe UI" w:cs="Segoe UI"/>
                <w:sz w:val="20"/>
                <w:szCs w:val="20"/>
              </w:rPr>
              <w:t xml:space="preserve"> bude dodavatelem nabídnuto i inovativní technické řešení.</w:t>
            </w:r>
          </w:p>
        </w:tc>
        <w:tc>
          <w:tcPr>
            <w:tcW w:w="3510" w:type="dxa"/>
          </w:tcPr>
          <w:p w14:paraId="43937131" w14:textId="2206F442" w:rsidR="005222CF" w:rsidRPr="00FD27E4" w:rsidRDefault="00D70343" w:rsidP="00DD537A">
            <w:pPr>
              <w:spacing w:before="120" w:after="120"/>
              <w:jc w:val="both"/>
              <w:rPr>
                <w:rFonts w:ascii="Segoe UI" w:hAnsi="Segoe UI" w:cs="Segoe UI"/>
                <w:sz w:val="20"/>
                <w:szCs w:val="20"/>
              </w:rPr>
            </w:pPr>
            <w:r w:rsidRPr="00FD27E4">
              <w:rPr>
                <w:rFonts w:ascii="Segoe UI" w:hAnsi="Segoe UI" w:cs="Segoe UI"/>
                <w:sz w:val="20"/>
                <w:szCs w:val="20"/>
              </w:rPr>
              <w:t>Předmět veřejné zakázky je specifikován v</w:t>
            </w:r>
            <w:r w:rsidR="00DD537A">
              <w:rPr>
                <w:rFonts w:ascii="Segoe UI" w:hAnsi="Segoe UI" w:cs="Segoe UI"/>
                <w:sz w:val="20"/>
                <w:szCs w:val="20"/>
              </w:rPr>
              <w:t xml:space="preserve"> zadávací dokumentaci. Zadavatel nevylučuje, že v rámci dodávky </w:t>
            </w:r>
            <w:r w:rsidR="00506CFC">
              <w:rPr>
                <w:rFonts w:ascii="Segoe UI" w:hAnsi="Segoe UI" w:cs="Segoe UI"/>
                <w:sz w:val="20"/>
                <w:szCs w:val="20"/>
              </w:rPr>
              <w:t>CAS</w:t>
            </w:r>
            <w:r w:rsidR="00DD537A">
              <w:rPr>
                <w:rFonts w:ascii="Segoe UI" w:hAnsi="Segoe UI" w:cs="Segoe UI"/>
                <w:sz w:val="20"/>
                <w:szCs w:val="20"/>
              </w:rPr>
              <w:t xml:space="preserve"> bude dodavatelem nabídnuto i inovativní technické řešení, ale z pohledu tohoto aspektu nepřijímá žádná opatření.</w:t>
            </w:r>
          </w:p>
        </w:tc>
      </w:tr>
      <w:tr w:rsidR="005222CF" w:rsidRPr="00FD27E4" w14:paraId="6A98A02F" w14:textId="77777777" w:rsidTr="00FC3786">
        <w:tc>
          <w:tcPr>
            <w:tcW w:w="2900" w:type="dxa"/>
          </w:tcPr>
          <w:p w14:paraId="2B562FB5" w14:textId="3EF9AE95" w:rsidR="005222CF" w:rsidRPr="00FD27E4" w:rsidRDefault="005222CF" w:rsidP="005222CF">
            <w:pPr>
              <w:spacing w:before="120" w:after="120"/>
              <w:jc w:val="both"/>
              <w:rPr>
                <w:rFonts w:ascii="Segoe UI" w:hAnsi="Segoe UI" w:cs="Segoe UI"/>
                <w:sz w:val="20"/>
                <w:szCs w:val="20"/>
              </w:rPr>
            </w:pPr>
            <w:r w:rsidRPr="00FD27E4">
              <w:rPr>
                <w:rFonts w:ascii="Segoe UI" w:hAnsi="Segoe UI" w:cs="Segoe UI"/>
                <w:sz w:val="20"/>
                <w:szCs w:val="20"/>
              </w:rPr>
              <w:lastRenderedPageBreak/>
              <w:t>1</w:t>
            </w:r>
            <w:r w:rsidR="00653C56" w:rsidRPr="00FD27E4">
              <w:rPr>
                <w:rFonts w:ascii="Segoe UI" w:hAnsi="Segoe UI" w:cs="Segoe UI"/>
                <w:sz w:val="20"/>
                <w:szCs w:val="20"/>
              </w:rPr>
              <w:t>3</w:t>
            </w:r>
            <w:r w:rsidRPr="00FD27E4">
              <w:rPr>
                <w:rFonts w:ascii="Segoe UI" w:hAnsi="Segoe UI" w:cs="Segoe UI"/>
                <w:sz w:val="20"/>
                <w:szCs w:val="20"/>
              </w:rPr>
              <w:t xml:space="preserve">. Je vhodné o využití OVZ ve veřejné zakázce informovat dodavatele, například formou předběžných tržních konzultací, představením plánu veřejných zakázek, setkání typu Meet </w:t>
            </w:r>
            <w:proofErr w:type="spellStart"/>
            <w:r w:rsidRPr="00FD27E4">
              <w:rPr>
                <w:rFonts w:ascii="Segoe UI" w:hAnsi="Segoe UI" w:cs="Segoe UI"/>
                <w:sz w:val="20"/>
                <w:szCs w:val="20"/>
              </w:rPr>
              <w:t>the</w:t>
            </w:r>
            <w:proofErr w:type="spellEnd"/>
            <w:r w:rsidRPr="00FD27E4">
              <w:rPr>
                <w:rFonts w:ascii="Segoe UI" w:hAnsi="Segoe UI" w:cs="Segoe UI"/>
                <w:sz w:val="20"/>
                <w:szCs w:val="20"/>
              </w:rPr>
              <w:t xml:space="preserve"> </w:t>
            </w:r>
            <w:proofErr w:type="spellStart"/>
            <w:r w:rsidRPr="00FD27E4">
              <w:rPr>
                <w:rFonts w:ascii="Segoe UI" w:hAnsi="Segoe UI" w:cs="Segoe UI"/>
                <w:sz w:val="20"/>
                <w:szCs w:val="20"/>
              </w:rPr>
              <w:t>buyer</w:t>
            </w:r>
            <w:proofErr w:type="spellEnd"/>
            <w:r w:rsidRPr="00FD27E4">
              <w:rPr>
                <w:rFonts w:ascii="Segoe UI" w:hAnsi="Segoe UI" w:cs="Segoe UI"/>
                <w:sz w:val="20"/>
                <w:szCs w:val="20"/>
              </w:rPr>
              <w:t xml:space="preserve"> neboli Poznej svého zadavatele, technických školení dodavatelů apod.?</w:t>
            </w:r>
          </w:p>
        </w:tc>
        <w:tc>
          <w:tcPr>
            <w:tcW w:w="2878" w:type="dxa"/>
          </w:tcPr>
          <w:p w14:paraId="2470EA5A" w14:textId="11C01F41" w:rsidR="005222CF" w:rsidRPr="00FD27E4" w:rsidRDefault="00D70343" w:rsidP="00E72F95">
            <w:pPr>
              <w:spacing w:before="120" w:after="120"/>
              <w:jc w:val="both"/>
              <w:rPr>
                <w:rFonts w:ascii="Segoe UI" w:hAnsi="Segoe UI" w:cs="Segoe UI"/>
                <w:sz w:val="20"/>
                <w:szCs w:val="20"/>
              </w:rPr>
            </w:pPr>
            <w:r w:rsidRPr="00FD27E4">
              <w:rPr>
                <w:rFonts w:ascii="Segoe UI" w:hAnsi="Segoe UI" w:cs="Segoe UI"/>
                <w:sz w:val="20"/>
                <w:szCs w:val="20"/>
              </w:rPr>
              <w:t>Tento aspekt byl vyhodnocen jako nerelevantní.</w:t>
            </w:r>
          </w:p>
        </w:tc>
        <w:tc>
          <w:tcPr>
            <w:tcW w:w="3510" w:type="dxa"/>
          </w:tcPr>
          <w:p w14:paraId="1ADB4FFF" w14:textId="28635605" w:rsidR="005222CF" w:rsidRPr="00FD27E4" w:rsidRDefault="00D70343" w:rsidP="00DD537A">
            <w:pPr>
              <w:spacing w:before="120" w:after="120"/>
              <w:jc w:val="both"/>
              <w:rPr>
                <w:rFonts w:ascii="Segoe UI" w:hAnsi="Segoe UI" w:cs="Segoe UI"/>
                <w:sz w:val="20"/>
                <w:szCs w:val="20"/>
              </w:rPr>
            </w:pPr>
            <w:r w:rsidRPr="00FD27E4">
              <w:rPr>
                <w:rFonts w:ascii="Segoe UI" w:hAnsi="Segoe UI" w:cs="Segoe UI"/>
                <w:sz w:val="20"/>
                <w:szCs w:val="20"/>
              </w:rPr>
              <w:t>Zadavatel je názoru, že v rámci OVZ aplikuje běžné</w:t>
            </w:r>
            <w:r w:rsidR="00C870C7" w:rsidRPr="00FD27E4">
              <w:rPr>
                <w:rFonts w:ascii="Segoe UI" w:hAnsi="Segoe UI" w:cs="Segoe UI"/>
                <w:sz w:val="20"/>
                <w:szCs w:val="20"/>
              </w:rPr>
              <w:t xml:space="preserve"> </w:t>
            </w:r>
            <w:r w:rsidRPr="00FD27E4">
              <w:rPr>
                <w:rFonts w:ascii="Segoe UI" w:hAnsi="Segoe UI" w:cs="Segoe UI"/>
                <w:sz w:val="20"/>
                <w:szCs w:val="20"/>
              </w:rPr>
              <w:t>zásady přiměřeně předmětu veřejné zakázky. Informování o využití OVZ ve veřejné zakázce formou předběžných tržních konzultací, představením plánu veřejných zakázek</w:t>
            </w:r>
            <w:r w:rsidR="00C870C7" w:rsidRPr="00FD27E4">
              <w:rPr>
                <w:rFonts w:ascii="Segoe UI" w:hAnsi="Segoe UI" w:cs="Segoe UI"/>
                <w:sz w:val="20"/>
                <w:szCs w:val="20"/>
              </w:rPr>
              <w:t xml:space="preserve"> </w:t>
            </w:r>
            <w:r w:rsidRPr="00FD27E4">
              <w:rPr>
                <w:rFonts w:ascii="Segoe UI" w:hAnsi="Segoe UI" w:cs="Segoe UI"/>
                <w:sz w:val="20"/>
                <w:szCs w:val="20"/>
              </w:rPr>
              <w:t>apod. nevyhodnotil zadavatel z výše uvedeného důvodu jako účelné.</w:t>
            </w:r>
            <w:r w:rsidR="002D7583" w:rsidRPr="00FD27E4">
              <w:rPr>
                <w:rFonts w:ascii="Segoe UI" w:hAnsi="Segoe UI" w:cs="Segoe UI"/>
                <w:sz w:val="20"/>
                <w:szCs w:val="20"/>
              </w:rPr>
              <w:t xml:space="preserve"> Plánované veřejné zakázky jsou navíc patrné ze schváleného rozpočtu zadavatele, který je veřejně přístupný na jeho webových stránkách.</w:t>
            </w:r>
          </w:p>
        </w:tc>
      </w:tr>
      <w:tr w:rsidR="005222CF" w:rsidRPr="00FD27E4" w14:paraId="080B7C3F" w14:textId="77777777" w:rsidTr="00FC3786">
        <w:tc>
          <w:tcPr>
            <w:tcW w:w="2900" w:type="dxa"/>
          </w:tcPr>
          <w:p w14:paraId="7C460DE7" w14:textId="6285E8FC" w:rsidR="005222CF" w:rsidRPr="00FD27E4" w:rsidRDefault="005222CF" w:rsidP="005222CF">
            <w:pPr>
              <w:spacing w:before="120" w:after="120"/>
              <w:jc w:val="both"/>
              <w:rPr>
                <w:rFonts w:ascii="Segoe UI" w:hAnsi="Segoe UI" w:cs="Segoe UI"/>
                <w:sz w:val="20"/>
                <w:szCs w:val="20"/>
              </w:rPr>
            </w:pPr>
            <w:r w:rsidRPr="00FD27E4">
              <w:rPr>
                <w:rFonts w:ascii="Segoe UI" w:hAnsi="Segoe UI" w:cs="Segoe UI"/>
                <w:sz w:val="20"/>
                <w:szCs w:val="20"/>
              </w:rPr>
              <w:t>1</w:t>
            </w:r>
            <w:r w:rsidR="00653C56" w:rsidRPr="00FD27E4">
              <w:rPr>
                <w:rFonts w:ascii="Segoe UI" w:hAnsi="Segoe UI" w:cs="Segoe UI"/>
                <w:sz w:val="20"/>
                <w:szCs w:val="20"/>
              </w:rPr>
              <w:t>4</w:t>
            </w:r>
            <w:r w:rsidRPr="00FD27E4">
              <w:rPr>
                <w:rFonts w:ascii="Segoe UI" w:hAnsi="Segoe UI" w:cs="Segoe UI"/>
                <w:sz w:val="20"/>
                <w:szCs w:val="20"/>
              </w:rPr>
              <w:t>. Existují jiná významná rizika nebo příležitosti z pohledu společenské odpovědnosti či udržitelnosti?</w:t>
            </w:r>
          </w:p>
        </w:tc>
        <w:tc>
          <w:tcPr>
            <w:tcW w:w="2878" w:type="dxa"/>
          </w:tcPr>
          <w:p w14:paraId="2690472A" w14:textId="71586B6C" w:rsidR="005222CF" w:rsidRPr="00FD27E4" w:rsidRDefault="00D70343" w:rsidP="00E72F95">
            <w:pPr>
              <w:spacing w:before="120" w:after="120"/>
              <w:jc w:val="both"/>
              <w:rPr>
                <w:rFonts w:ascii="Segoe UI" w:hAnsi="Segoe UI" w:cs="Segoe UI"/>
                <w:sz w:val="20"/>
                <w:szCs w:val="20"/>
              </w:rPr>
            </w:pPr>
            <w:r w:rsidRPr="00FD27E4">
              <w:rPr>
                <w:rFonts w:ascii="Segoe UI" w:hAnsi="Segoe UI" w:cs="Segoe UI"/>
                <w:sz w:val="20"/>
                <w:szCs w:val="20"/>
              </w:rPr>
              <w:t>Tento aspekt byl vyhodnocen jako nerelevantní.</w:t>
            </w:r>
          </w:p>
        </w:tc>
        <w:tc>
          <w:tcPr>
            <w:tcW w:w="3510" w:type="dxa"/>
          </w:tcPr>
          <w:p w14:paraId="0806CDA2" w14:textId="25B8164D" w:rsidR="005222CF" w:rsidRPr="00FD27E4" w:rsidRDefault="00D70343" w:rsidP="00E72F95">
            <w:pPr>
              <w:spacing w:before="120" w:after="120"/>
              <w:jc w:val="both"/>
              <w:rPr>
                <w:rFonts w:ascii="Segoe UI" w:hAnsi="Segoe UI" w:cs="Segoe UI"/>
                <w:sz w:val="20"/>
                <w:szCs w:val="20"/>
              </w:rPr>
            </w:pPr>
            <w:r w:rsidRPr="00FD27E4">
              <w:rPr>
                <w:rFonts w:ascii="Segoe UI" w:hAnsi="Segoe UI" w:cs="Segoe UI"/>
                <w:sz w:val="20"/>
                <w:szCs w:val="20"/>
              </w:rPr>
              <w:t>Zadavateli nejsou známa jiná než výše uvedená rizika nebo příležitosti z pohledu společenské odpovědnosti nebo udržitelnosti.</w:t>
            </w:r>
          </w:p>
        </w:tc>
      </w:tr>
    </w:tbl>
    <w:p w14:paraId="7F3308FA" w14:textId="77777777" w:rsidR="00FD27E4" w:rsidRDefault="00FD27E4" w:rsidP="00630EC9">
      <w:pPr>
        <w:pStyle w:val="doc-ti"/>
        <w:shd w:val="clear" w:color="auto" w:fill="FFFFFF"/>
        <w:spacing w:before="0" w:beforeAutospacing="0" w:after="0" w:afterAutospacing="0"/>
        <w:jc w:val="center"/>
        <w:rPr>
          <w:rFonts w:ascii="Segoe UI" w:hAnsi="Segoe UI" w:cs="Segoe UI"/>
          <w:b/>
          <w:bCs/>
          <w:sz w:val="20"/>
          <w:szCs w:val="20"/>
        </w:rPr>
      </w:pPr>
    </w:p>
    <w:p w14:paraId="4E1B4ABD" w14:textId="77777777" w:rsidR="00FD27E4" w:rsidRDefault="00FD27E4" w:rsidP="00630EC9">
      <w:pPr>
        <w:pStyle w:val="doc-ti"/>
        <w:shd w:val="clear" w:color="auto" w:fill="FFFFFF"/>
        <w:spacing w:before="0" w:beforeAutospacing="0" w:after="0" w:afterAutospacing="0"/>
        <w:jc w:val="center"/>
        <w:rPr>
          <w:rFonts w:ascii="Segoe UI" w:hAnsi="Segoe UI" w:cs="Segoe UI"/>
          <w:b/>
          <w:bCs/>
          <w:sz w:val="20"/>
          <w:szCs w:val="20"/>
        </w:rPr>
      </w:pPr>
    </w:p>
    <w:p w14:paraId="3BAA3FCC" w14:textId="6A800A2D" w:rsidR="00630EC9" w:rsidRPr="00FD27E4" w:rsidRDefault="00F83DAE" w:rsidP="00630EC9">
      <w:pPr>
        <w:pStyle w:val="doc-ti"/>
        <w:shd w:val="clear" w:color="auto" w:fill="FFFFFF"/>
        <w:spacing w:before="0" w:beforeAutospacing="0" w:after="0" w:afterAutospacing="0"/>
        <w:jc w:val="center"/>
        <w:rPr>
          <w:rFonts w:ascii="Segoe UI" w:hAnsi="Segoe UI" w:cs="Segoe UI"/>
          <w:b/>
          <w:bCs/>
          <w:sz w:val="20"/>
          <w:szCs w:val="20"/>
        </w:rPr>
      </w:pPr>
      <w:r w:rsidRPr="00FD27E4">
        <w:rPr>
          <w:rFonts w:ascii="Segoe UI" w:hAnsi="Segoe UI" w:cs="Segoe UI"/>
          <w:b/>
          <w:bCs/>
          <w:sz w:val="20"/>
          <w:szCs w:val="20"/>
        </w:rPr>
        <w:t xml:space="preserve">Příloha č. 1 </w:t>
      </w:r>
      <w:r w:rsidR="00630EC9" w:rsidRPr="00FD27E4">
        <w:rPr>
          <w:rFonts w:ascii="Segoe UI" w:hAnsi="Segoe UI" w:cs="Segoe UI"/>
          <w:b/>
          <w:bCs/>
          <w:sz w:val="20"/>
          <w:szCs w:val="20"/>
        </w:rPr>
        <w:t>SMĚRNICE EVROPSKÉHO PARLAMENTU A RADY 2014/24/EU</w:t>
      </w:r>
    </w:p>
    <w:p w14:paraId="0D5E56D2" w14:textId="77777777" w:rsidR="00630EC9" w:rsidRPr="00FD27E4" w:rsidRDefault="00630EC9" w:rsidP="00630EC9">
      <w:pPr>
        <w:pStyle w:val="doc-ti"/>
        <w:shd w:val="clear" w:color="auto" w:fill="FFFFFF"/>
        <w:spacing w:before="0" w:beforeAutospacing="0" w:after="0" w:afterAutospacing="0"/>
        <w:jc w:val="center"/>
        <w:rPr>
          <w:rFonts w:ascii="Segoe UI" w:hAnsi="Segoe UI" w:cs="Segoe UI"/>
          <w:b/>
          <w:bCs/>
          <w:sz w:val="20"/>
          <w:szCs w:val="20"/>
        </w:rPr>
      </w:pPr>
      <w:r w:rsidRPr="00FD27E4">
        <w:rPr>
          <w:rFonts w:ascii="Segoe UI" w:hAnsi="Segoe UI" w:cs="Segoe UI"/>
          <w:b/>
          <w:bCs/>
          <w:sz w:val="20"/>
          <w:szCs w:val="20"/>
        </w:rPr>
        <w:t>ze dne 26. února 2014</w:t>
      </w:r>
    </w:p>
    <w:p w14:paraId="7735645E" w14:textId="77777777" w:rsidR="00630EC9" w:rsidRPr="00FD27E4" w:rsidRDefault="00630EC9" w:rsidP="00630EC9">
      <w:pPr>
        <w:pStyle w:val="doc-ti"/>
        <w:shd w:val="clear" w:color="auto" w:fill="FFFFFF"/>
        <w:spacing w:before="0" w:beforeAutospacing="0" w:after="0" w:afterAutospacing="0"/>
        <w:jc w:val="center"/>
        <w:rPr>
          <w:rFonts w:ascii="Segoe UI" w:hAnsi="Segoe UI" w:cs="Segoe UI"/>
          <w:bCs/>
          <w:sz w:val="20"/>
          <w:szCs w:val="20"/>
        </w:rPr>
      </w:pPr>
      <w:r w:rsidRPr="00FD27E4">
        <w:rPr>
          <w:rFonts w:ascii="Segoe UI" w:hAnsi="Segoe UI" w:cs="Segoe UI"/>
          <w:bCs/>
          <w:sz w:val="20"/>
          <w:szCs w:val="20"/>
        </w:rPr>
        <w:t>o zadávání veřejných zakázek a o zrušení směrnice 2004/18/ES</w:t>
      </w:r>
    </w:p>
    <w:p w14:paraId="56585F2F" w14:textId="77777777" w:rsidR="00630EC9" w:rsidRPr="00FD27E4" w:rsidRDefault="00630EC9" w:rsidP="00630EC9">
      <w:pPr>
        <w:pStyle w:val="doc-ti"/>
        <w:shd w:val="clear" w:color="auto" w:fill="FFFFFF"/>
        <w:spacing w:before="0" w:beforeAutospacing="0" w:after="0" w:afterAutospacing="0"/>
        <w:jc w:val="center"/>
        <w:rPr>
          <w:rFonts w:ascii="Segoe UI" w:hAnsi="Segoe UI" w:cs="Segoe UI"/>
          <w:bCs/>
          <w:sz w:val="20"/>
          <w:szCs w:val="20"/>
        </w:rPr>
      </w:pPr>
      <w:r w:rsidRPr="00FD27E4">
        <w:rPr>
          <w:rFonts w:ascii="Segoe UI" w:hAnsi="Segoe UI" w:cs="Segoe UI"/>
          <w:bCs/>
          <w:sz w:val="20"/>
          <w:szCs w:val="20"/>
        </w:rPr>
        <w:t>(Text s významem pro EHP)</w:t>
      </w:r>
    </w:p>
    <w:p w14:paraId="174883CA" w14:textId="77777777" w:rsidR="00630EC9" w:rsidRPr="00FD27E4" w:rsidRDefault="00630EC9" w:rsidP="00630EC9">
      <w:pPr>
        <w:shd w:val="clear" w:color="auto" w:fill="FFFFFF"/>
        <w:spacing w:after="0" w:line="240" w:lineRule="auto"/>
        <w:jc w:val="center"/>
        <w:rPr>
          <w:rFonts w:ascii="Segoe UI" w:eastAsia="Times New Roman" w:hAnsi="Segoe UI" w:cs="Segoe UI"/>
          <w:b/>
          <w:bCs/>
          <w:sz w:val="20"/>
          <w:szCs w:val="20"/>
          <w:lang w:eastAsia="cs-CZ"/>
        </w:rPr>
      </w:pPr>
    </w:p>
    <w:p w14:paraId="53F49D92" w14:textId="77777777" w:rsidR="00630EC9" w:rsidRPr="00FD27E4" w:rsidRDefault="00630EC9" w:rsidP="00630EC9">
      <w:pPr>
        <w:shd w:val="clear" w:color="auto" w:fill="FFFFFF"/>
        <w:spacing w:after="0" w:line="240" w:lineRule="auto"/>
        <w:jc w:val="center"/>
        <w:rPr>
          <w:rFonts w:ascii="Segoe UI" w:eastAsia="Times New Roman" w:hAnsi="Segoe UI" w:cs="Segoe UI"/>
          <w:b/>
          <w:bCs/>
          <w:sz w:val="20"/>
          <w:szCs w:val="20"/>
          <w:lang w:eastAsia="cs-CZ"/>
        </w:rPr>
      </w:pPr>
      <w:r w:rsidRPr="00FD27E4">
        <w:rPr>
          <w:rFonts w:ascii="Segoe UI" w:eastAsia="Times New Roman" w:hAnsi="Segoe UI" w:cs="Segoe UI"/>
          <w:b/>
          <w:bCs/>
          <w:sz w:val="20"/>
          <w:szCs w:val="20"/>
          <w:lang w:eastAsia="cs-CZ"/>
        </w:rPr>
        <w:t>PŘÍLOHA X</w:t>
      </w:r>
    </w:p>
    <w:p w14:paraId="6A4DC4ED" w14:textId="77777777" w:rsidR="00630EC9" w:rsidRPr="00FD27E4" w:rsidRDefault="00630EC9" w:rsidP="00630EC9">
      <w:pPr>
        <w:shd w:val="clear" w:color="auto" w:fill="FFFFFF"/>
        <w:spacing w:after="0" w:line="240" w:lineRule="auto"/>
        <w:jc w:val="both"/>
        <w:rPr>
          <w:rFonts w:ascii="Segoe UI" w:eastAsia="Times New Roman" w:hAnsi="Segoe UI" w:cs="Segoe UI"/>
          <w:b/>
          <w:bCs/>
          <w:sz w:val="20"/>
          <w:szCs w:val="20"/>
          <w:lang w:eastAsia="cs-CZ"/>
        </w:rPr>
      </w:pPr>
      <w:r w:rsidRPr="00FD27E4">
        <w:rPr>
          <w:rFonts w:ascii="Segoe UI" w:eastAsia="Times New Roman" w:hAnsi="Segoe UI" w:cs="Segoe UI"/>
          <w:b/>
          <w:bCs/>
          <w:sz w:val="20"/>
          <w:szCs w:val="20"/>
          <w:lang w:eastAsia="cs-CZ"/>
        </w:rPr>
        <w:t>SEZNAM MEZINÁRODNÍCH SOCIÁLNÍCH ÚMLUV A ÚMLUV O ŽIVOTNÍM PROSTŘEDÍ UVEDENÝ V ČL. 18 ODST. 2:</w:t>
      </w:r>
    </w:p>
    <w:p w14:paraId="44889E99" w14:textId="77777777" w:rsidR="00630EC9" w:rsidRPr="00FD27E4" w:rsidRDefault="00630EC9" w:rsidP="00F83DAE">
      <w:pPr>
        <w:pStyle w:val="Odstavecseseznamem"/>
        <w:numPr>
          <w:ilvl w:val="0"/>
          <w:numId w:val="1"/>
        </w:numPr>
        <w:shd w:val="clear" w:color="auto" w:fill="FFFFFF"/>
        <w:spacing w:before="60" w:after="60" w:line="240" w:lineRule="auto"/>
        <w:ind w:left="714" w:hanging="357"/>
        <w:contextualSpacing w:val="0"/>
        <w:jc w:val="both"/>
        <w:rPr>
          <w:rFonts w:ascii="Segoe UI" w:eastAsia="Times New Roman" w:hAnsi="Segoe UI" w:cs="Segoe UI"/>
          <w:bCs/>
          <w:sz w:val="20"/>
          <w:szCs w:val="20"/>
          <w:lang w:eastAsia="cs-CZ"/>
        </w:rPr>
      </w:pPr>
      <w:r w:rsidRPr="00FD27E4">
        <w:rPr>
          <w:rFonts w:ascii="Segoe UI" w:eastAsia="Times New Roman" w:hAnsi="Segoe UI" w:cs="Segoe UI"/>
          <w:bCs/>
          <w:sz w:val="20"/>
          <w:szCs w:val="20"/>
          <w:lang w:eastAsia="cs-CZ"/>
        </w:rPr>
        <w:t>Úmluva MOP č. 87 o svobodě sdružování a ochraně práva odborově se organizovat,</w:t>
      </w:r>
    </w:p>
    <w:p w14:paraId="48394001" w14:textId="77777777" w:rsidR="00630EC9" w:rsidRPr="00FD27E4" w:rsidRDefault="00630EC9" w:rsidP="00F83DAE">
      <w:pPr>
        <w:pStyle w:val="Odstavecseseznamem"/>
        <w:numPr>
          <w:ilvl w:val="0"/>
          <w:numId w:val="1"/>
        </w:numPr>
        <w:shd w:val="clear" w:color="auto" w:fill="FFFFFF"/>
        <w:spacing w:before="60" w:after="60" w:line="240" w:lineRule="auto"/>
        <w:ind w:left="714" w:hanging="357"/>
        <w:contextualSpacing w:val="0"/>
        <w:jc w:val="both"/>
        <w:rPr>
          <w:rFonts w:ascii="Segoe UI" w:eastAsia="Times New Roman" w:hAnsi="Segoe UI" w:cs="Segoe UI"/>
          <w:bCs/>
          <w:sz w:val="20"/>
          <w:szCs w:val="20"/>
          <w:lang w:eastAsia="cs-CZ"/>
        </w:rPr>
      </w:pPr>
      <w:r w:rsidRPr="00FD27E4">
        <w:rPr>
          <w:rFonts w:ascii="Segoe UI" w:eastAsia="Times New Roman" w:hAnsi="Segoe UI" w:cs="Segoe UI"/>
          <w:bCs/>
          <w:sz w:val="20"/>
          <w:szCs w:val="20"/>
          <w:lang w:eastAsia="cs-CZ"/>
        </w:rPr>
        <w:t>Úmluva MOP č. 98 o provádění zásad práva organizovat se a kolektivně vyjednávat,</w:t>
      </w:r>
    </w:p>
    <w:p w14:paraId="575939D5" w14:textId="77777777" w:rsidR="00630EC9" w:rsidRPr="00FD27E4" w:rsidRDefault="00630EC9" w:rsidP="00F83DAE">
      <w:pPr>
        <w:pStyle w:val="Odstavecseseznamem"/>
        <w:numPr>
          <w:ilvl w:val="0"/>
          <w:numId w:val="1"/>
        </w:numPr>
        <w:shd w:val="clear" w:color="auto" w:fill="FFFFFF"/>
        <w:spacing w:before="60" w:after="60" w:line="240" w:lineRule="auto"/>
        <w:ind w:left="714" w:hanging="357"/>
        <w:contextualSpacing w:val="0"/>
        <w:jc w:val="both"/>
        <w:rPr>
          <w:rFonts w:ascii="Segoe UI" w:eastAsia="Times New Roman" w:hAnsi="Segoe UI" w:cs="Segoe UI"/>
          <w:bCs/>
          <w:sz w:val="20"/>
          <w:szCs w:val="20"/>
          <w:lang w:eastAsia="cs-CZ"/>
        </w:rPr>
      </w:pPr>
      <w:r w:rsidRPr="00FD27E4">
        <w:rPr>
          <w:rFonts w:ascii="Segoe UI" w:eastAsia="Times New Roman" w:hAnsi="Segoe UI" w:cs="Segoe UI"/>
          <w:bCs/>
          <w:sz w:val="20"/>
          <w:szCs w:val="20"/>
          <w:lang w:eastAsia="cs-CZ"/>
        </w:rPr>
        <w:t>Úmluva MOP č. 29 o nucené nebo povinné práci,</w:t>
      </w:r>
    </w:p>
    <w:p w14:paraId="150C878F" w14:textId="77777777" w:rsidR="00630EC9" w:rsidRPr="00FD27E4" w:rsidRDefault="00630EC9" w:rsidP="00F83DAE">
      <w:pPr>
        <w:pStyle w:val="Odstavecseseznamem"/>
        <w:numPr>
          <w:ilvl w:val="0"/>
          <w:numId w:val="1"/>
        </w:numPr>
        <w:shd w:val="clear" w:color="auto" w:fill="FFFFFF"/>
        <w:spacing w:before="60" w:after="60" w:line="240" w:lineRule="auto"/>
        <w:ind w:left="714" w:hanging="357"/>
        <w:contextualSpacing w:val="0"/>
        <w:jc w:val="both"/>
        <w:rPr>
          <w:rFonts w:ascii="Segoe UI" w:eastAsia="Times New Roman" w:hAnsi="Segoe UI" w:cs="Segoe UI"/>
          <w:bCs/>
          <w:sz w:val="20"/>
          <w:szCs w:val="20"/>
          <w:lang w:eastAsia="cs-CZ"/>
        </w:rPr>
      </w:pPr>
      <w:r w:rsidRPr="00FD27E4">
        <w:rPr>
          <w:rFonts w:ascii="Segoe UI" w:eastAsia="Times New Roman" w:hAnsi="Segoe UI" w:cs="Segoe UI"/>
          <w:bCs/>
          <w:sz w:val="20"/>
          <w:szCs w:val="20"/>
          <w:lang w:eastAsia="cs-CZ"/>
        </w:rPr>
        <w:t>Úmluva MOP č. 105 o odstranění nucené práce,</w:t>
      </w:r>
    </w:p>
    <w:p w14:paraId="1CB93100" w14:textId="77777777" w:rsidR="00630EC9" w:rsidRPr="00FD27E4" w:rsidRDefault="00630EC9" w:rsidP="00F83DAE">
      <w:pPr>
        <w:pStyle w:val="Odstavecseseznamem"/>
        <w:numPr>
          <w:ilvl w:val="0"/>
          <w:numId w:val="1"/>
        </w:numPr>
        <w:shd w:val="clear" w:color="auto" w:fill="FFFFFF"/>
        <w:spacing w:before="60" w:after="60" w:line="240" w:lineRule="auto"/>
        <w:ind w:left="714" w:hanging="357"/>
        <w:contextualSpacing w:val="0"/>
        <w:jc w:val="both"/>
        <w:rPr>
          <w:rFonts w:ascii="Segoe UI" w:eastAsia="Times New Roman" w:hAnsi="Segoe UI" w:cs="Segoe UI"/>
          <w:bCs/>
          <w:sz w:val="20"/>
          <w:szCs w:val="20"/>
          <w:lang w:eastAsia="cs-CZ"/>
        </w:rPr>
      </w:pPr>
      <w:r w:rsidRPr="00FD27E4">
        <w:rPr>
          <w:rFonts w:ascii="Segoe UI" w:eastAsia="Times New Roman" w:hAnsi="Segoe UI" w:cs="Segoe UI"/>
          <w:bCs/>
          <w:sz w:val="20"/>
          <w:szCs w:val="20"/>
          <w:lang w:eastAsia="cs-CZ"/>
        </w:rPr>
        <w:t>Úmluva MOP č. 138 o minimálním věku pro zaměstnávání dětí,</w:t>
      </w:r>
    </w:p>
    <w:p w14:paraId="07997B62" w14:textId="77777777" w:rsidR="00630EC9" w:rsidRPr="00FD27E4" w:rsidRDefault="00630EC9" w:rsidP="00F83DAE">
      <w:pPr>
        <w:pStyle w:val="Odstavecseseznamem"/>
        <w:numPr>
          <w:ilvl w:val="0"/>
          <w:numId w:val="1"/>
        </w:numPr>
        <w:shd w:val="clear" w:color="auto" w:fill="FFFFFF"/>
        <w:spacing w:before="60" w:after="60" w:line="240" w:lineRule="auto"/>
        <w:ind w:left="714" w:hanging="357"/>
        <w:contextualSpacing w:val="0"/>
        <w:jc w:val="both"/>
        <w:rPr>
          <w:rFonts w:ascii="Segoe UI" w:eastAsia="Times New Roman" w:hAnsi="Segoe UI" w:cs="Segoe UI"/>
          <w:bCs/>
          <w:sz w:val="20"/>
          <w:szCs w:val="20"/>
          <w:lang w:eastAsia="cs-CZ"/>
        </w:rPr>
      </w:pPr>
      <w:r w:rsidRPr="00FD27E4">
        <w:rPr>
          <w:rFonts w:ascii="Segoe UI" w:eastAsia="Times New Roman" w:hAnsi="Segoe UI" w:cs="Segoe UI"/>
          <w:bCs/>
          <w:sz w:val="20"/>
          <w:szCs w:val="20"/>
          <w:lang w:eastAsia="cs-CZ"/>
        </w:rPr>
        <w:t>Úmluva MOP č. 111</w:t>
      </w:r>
      <w:r w:rsidR="00F83DAE" w:rsidRPr="00FD27E4">
        <w:rPr>
          <w:rFonts w:ascii="Segoe UI" w:eastAsia="Times New Roman" w:hAnsi="Segoe UI" w:cs="Segoe UI"/>
          <w:bCs/>
          <w:sz w:val="20"/>
          <w:szCs w:val="20"/>
          <w:lang w:eastAsia="cs-CZ"/>
        </w:rPr>
        <w:t xml:space="preserve"> </w:t>
      </w:r>
      <w:r w:rsidRPr="00FD27E4">
        <w:rPr>
          <w:rFonts w:ascii="Segoe UI" w:eastAsia="Times New Roman" w:hAnsi="Segoe UI" w:cs="Segoe UI"/>
          <w:bCs/>
          <w:sz w:val="20"/>
          <w:szCs w:val="20"/>
          <w:lang w:eastAsia="cs-CZ"/>
        </w:rPr>
        <w:t>o diskriminaci (zaměstnávání a povolání),</w:t>
      </w:r>
    </w:p>
    <w:p w14:paraId="261F22CA" w14:textId="77777777" w:rsidR="00630EC9" w:rsidRPr="00FD27E4" w:rsidRDefault="00630EC9" w:rsidP="00F83DAE">
      <w:pPr>
        <w:pStyle w:val="Odstavecseseznamem"/>
        <w:numPr>
          <w:ilvl w:val="0"/>
          <w:numId w:val="1"/>
        </w:numPr>
        <w:shd w:val="clear" w:color="auto" w:fill="FFFFFF"/>
        <w:spacing w:before="60" w:after="60" w:line="240" w:lineRule="auto"/>
        <w:ind w:left="714" w:hanging="357"/>
        <w:contextualSpacing w:val="0"/>
        <w:jc w:val="both"/>
        <w:rPr>
          <w:rFonts w:ascii="Segoe UI" w:eastAsia="Times New Roman" w:hAnsi="Segoe UI" w:cs="Segoe UI"/>
          <w:bCs/>
          <w:sz w:val="20"/>
          <w:szCs w:val="20"/>
          <w:lang w:eastAsia="cs-CZ"/>
        </w:rPr>
      </w:pPr>
      <w:r w:rsidRPr="00FD27E4">
        <w:rPr>
          <w:rFonts w:ascii="Segoe UI" w:eastAsia="Times New Roman" w:hAnsi="Segoe UI" w:cs="Segoe UI"/>
          <w:bCs/>
          <w:sz w:val="20"/>
          <w:szCs w:val="20"/>
          <w:lang w:eastAsia="cs-CZ"/>
        </w:rPr>
        <w:t>Úmluva MOP č. 100 o stejném odměňování mužů a žen za práci stejné hodnoty,</w:t>
      </w:r>
    </w:p>
    <w:p w14:paraId="13865E1A" w14:textId="77777777" w:rsidR="00630EC9" w:rsidRPr="00FD27E4" w:rsidRDefault="00630EC9" w:rsidP="00F83DAE">
      <w:pPr>
        <w:pStyle w:val="Odstavecseseznamem"/>
        <w:numPr>
          <w:ilvl w:val="0"/>
          <w:numId w:val="1"/>
        </w:numPr>
        <w:shd w:val="clear" w:color="auto" w:fill="FFFFFF"/>
        <w:spacing w:before="60" w:after="60" w:line="240" w:lineRule="auto"/>
        <w:ind w:left="714" w:hanging="357"/>
        <w:contextualSpacing w:val="0"/>
        <w:jc w:val="both"/>
        <w:rPr>
          <w:rFonts w:ascii="Segoe UI" w:eastAsia="Times New Roman" w:hAnsi="Segoe UI" w:cs="Segoe UI"/>
          <w:bCs/>
          <w:sz w:val="20"/>
          <w:szCs w:val="20"/>
          <w:lang w:eastAsia="cs-CZ"/>
        </w:rPr>
      </w:pPr>
      <w:r w:rsidRPr="00FD27E4">
        <w:rPr>
          <w:rFonts w:ascii="Segoe UI" w:eastAsia="Times New Roman" w:hAnsi="Segoe UI" w:cs="Segoe UI"/>
          <w:bCs/>
          <w:sz w:val="20"/>
          <w:szCs w:val="20"/>
          <w:lang w:eastAsia="cs-CZ"/>
        </w:rPr>
        <w:t>Úmluva MOP č. 182 o nejhorších formách dětské práce,</w:t>
      </w:r>
    </w:p>
    <w:p w14:paraId="24D4C032" w14:textId="77777777" w:rsidR="00630EC9" w:rsidRPr="00FD27E4" w:rsidRDefault="00630EC9" w:rsidP="00F83DAE">
      <w:pPr>
        <w:pStyle w:val="Odstavecseseznamem"/>
        <w:numPr>
          <w:ilvl w:val="0"/>
          <w:numId w:val="1"/>
        </w:numPr>
        <w:shd w:val="clear" w:color="auto" w:fill="FFFFFF"/>
        <w:spacing w:before="60" w:after="60" w:line="240" w:lineRule="auto"/>
        <w:ind w:left="714" w:hanging="357"/>
        <w:contextualSpacing w:val="0"/>
        <w:jc w:val="both"/>
        <w:rPr>
          <w:rFonts w:ascii="Segoe UI" w:eastAsia="Times New Roman" w:hAnsi="Segoe UI" w:cs="Segoe UI"/>
          <w:bCs/>
          <w:sz w:val="20"/>
          <w:szCs w:val="20"/>
          <w:lang w:eastAsia="cs-CZ"/>
        </w:rPr>
      </w:pPr>
      <w:r w:rsidRPr="00FD27E4">
        <w:rPr>
          <w:rFonts w:ascii="Segoe UI" w:eastAsia="Times New Roman" w:hAnsi="Segoe UI" w:cs="Segoe UI"/>
          <w:bCs/>
          <w:sz w:val="20"/>
          <w:szCs w:val="20"/>
          <w:lang w:eastAsia="cs-CZ"/>
        </w:rPr>
        <w:t>Vídeňská úmluva o ochraně ozonové vrstvy a Montrealský protokol o látkách, které poškozují ozonovou vrstvu,</w:t>
      </w:r>
    </w:p>
    <w:p w14:paraId="10DE1336" w14:textId="77777777" w:rsidR="00630EC9" w:rsidRPr="00FD27E4" w:rsidRDefault="00630EC9" w:rsidP="00F83DAE">
      <w:pPr>
        <w:pStyle w:val="Odstavecseseznamem"/>
        <w:numPr>
          <w:ilvl w:val="0"/>
          <w:numId w:val="1"/>
        </w:numPr>
        <w:shd w:val="clear" w:color="auto" w:fill="FFFFFF"/>
        <w:spacing w:before="60" w:after="60" w:line="240" w:lineRule="auto"/>
        <w:ind w:left="714" w:hanging="357"/>
        <w:contextualSpacing w:val="0"/>
        <w:jc w:val="both"/>
        <w:rPr>
          <w:rFonts w:ascii="Segoe UI" w:eastAsia="Times New Roman" w:hAnsi="Segoe UI" w:cs="Segoe UI"/>
          <w:bCs/>
          <w:sz w:val="20"/>
          <w:szCs w:val="20"/>
          <w:lang w:eastAsia="cs-CZ"/>
        </w:rPr>
      </w:pPr>
      <w:r w:rsidRPr="00FD27E4">
        <w:rPr>
          <w:rFonts w:ascii="Segoe UI" w:eastAsia="Times New Roman" w:hAnsi="Segoe UI" w:cs="Segoe UI"/>
          <w:bCs/>
          <w:sz w:val="20"/>
          <w:szCs w:val="20"/>
          <w:lang w:eastAsia="cs-CZ"/>
        </w:rPr>
        <w:t>Basilejská úmluva o kontrole pohybu nebezpečných odpadů přes hranice států a jejich zneškodňování (Basilejská úmluva),</w:t>
      </w:r>
    </w:p>
    <w:p w14:paraId="3293B850" w14:textId="77777777" w:rsidR="00630EC9" w:rsidRPr="00FD27E4" w:rsidRDefault="00630EC9" w:rsidP="00F83DAE">
      <w:pPr>
        <w:pStyle w:val="Odstavecseseznamem"/>
        <w:numPr>
          <w:ilvl w:val="0"/>
          <w:numId w:val="1"/>
        </w:numPr>
        <w:shd w:val="clear" w:color="auto" w:fill="FFFFFF"/>
        <w:spacing w:before="60" w:after="60" w:line="240" w:lineRule="auto"/>
        <w:ind w:left="714" w:hanging="357"/>
        <w:contextualSpacing w:val="0"/>
        <w:jc w:val="both"/>
        <w:rPr>
          <w:rFonts w:ascii="Segoe UI" w:eastAsia="Times New Roman" w:hAnsi="Segoe UI" w:cs="Segoe UI"/>
          <w:bCs/>
          <w:sz w:val="20"/>
          <w:szCs w:val="20"/>
          <w:lang w:eastAsia="cs-CZ"/>
        </w:rPr>
      </w:pPr>
      <w:r w:rsidRPr="00FD27E4">
        <w:rPr>
          <w:rFonts w:ascii="Segoe UI" w:eastAsia="Times New Roman" w:hAnsi="Segoe UI" w:cs="Segoe UI"/>
          <w:bCs/>
          <w:sz w:val="20"/>
          <w:szCs w:val="20"/>
          <w:lang w:eastAsia="cs-CZ"/>
        </w:rPr>
        <w:t xml:space="preserve">Stockholmská úmluva o </w:t>
      </w:r>
      <w:r w:rsidR="00F83DAE" w:rsidRPr="00FD27E4">
        <w:rPr>
          <w:rFonts w:ascii="Segoe UI" w:eastAsia="Times New Roman" w:hAnsi="Segoe UI" w:cs="Segoe UI"/>
          <w:bCs/>
          <w:sz w:val="20"/>
          <w:szCs w:val="20"/>
          <w:lang w:eastAsia="cs-CZ"/>
        </w:rPr>
        <w:t>perzistentních organických znečišťujících látkách,</w:t>
      </w:r>
    </w:p>
    <w:p w14:paraId="4345D5DB" w14:textId="2B269897" w:rsidR="00630EC9" w:rsidRPr="00506CFC" w:rsidRDefault="00F83DAE" w:rsidP="00A9467E">
      <w:pPr>
        <w:pStyle w:val="Odstavecseseznamem"/>
        <w:numPr>
          <w:ilvl w:val="0"/>
          <w:numId w:val="1"/>
        </w:numPr>
        <w:shd w:val="clear" w:color="auto" w:fill="FFFFFF"/>
        <w:spacing w:before="60" w:after="0" w:line="240" w:lineRule="auto"/>
        <w:ind w:left="714" w:hanging="357"/>
        <w:contextualSpacing w:val="0"/>
        <w:jc w:val="both"/>
        <w:rPr>
          <w:rFonts w:ascii="Segoe UI" w:eastAsia="Times New Roman" w:hAnsi="Segoe UI" w:cs="Segoe UI"/>
          <w:vanish/>
          <w:sz w:val="20"/>
          <w:szCs w:val="20"/>
          <w:lang w:eastAsia="cs-CZ"/>
        </w:rPr>
      </w:pPr>
      <w:r w:rsidRPr="00506CFC">
        <w:rPr>
          <w:rFonts w:ascii="Segoe UI" w:eastAsia="Times New Roman" w:hAnsi="Segoe UI" w:cs="Segoe UI"/>
          <w:bCs/>
          <w:sz w:val="20"/>
          <w:szCs w:val="20"/>
          <w:lang w:eastAsia="cs-CZ"/>
        </w:rPr>
        <w:t>Rotterdamská úmluva o postupu předchozího souhlasu pro určité nebezpečné chemické látky a pesticidy v mezinárodním obchodu (UNEP/FAO) (Rotterdamská úmluva), Rotterdam 10. září 1998 a její tři regionální protokoly.</w:t>
      </w:r>
    </w:p>
    <w:tbl>
      <w:tblPr>
        <w:tblW w:w="5000" w:type="pct"/>
        <w:shd w:val="clear" w:color="auto" w:fill="FFFFFF"/>
        <w:tblCellMar>
          <w:left w:w="0" w:type="dxa"/>
          <w:right w:w="0" w:type="dxa"/>
        </w:tblCellMar>
        <w:tblLook w:val="04A0" w:firstRow="1" w:lastRow="0" w:firstColumn="1" w:lastColumn="0" w:noHBand="0" w:noVBand="1"/>
      </w:tblPr>
      <w:tblGrid>
        <w:gridCol w:w="4536"/>
        <w:gridCol w:w="4536"/>
      </w:tblGrid>
      <w:tr w:rsidR="00630EC9" w:rsidRPr="005577B8" w14:paraId="04431388" w14:textId="77777777" w:rsidTr="00630EC9">
        <w:tc>
          <w:tcPr>
            <w:tcW w:w="0" w:type="auto"/>
            <w:shd w:val="clear" w:color="auto" w:fill="FFFFFF"/>
          </w:tcPr>
          <w:p w14:paraId="6929FA30" w14:textId="77777777" w:rsidR="009C5F5A" w:rsidRPr="005577B8" w:rsidRDefault="009C5F5A" w:rsidP="00630EC9">
            <w:pPr>
              <w:spacing w:after="0" w:line="240" w:lineRule="auto"/>
              <w:jc w:val="both"/>
              <w:rPr>
                <w:rFonts w:ascii="Segoe UI" w:eastAsia="Times New Roman" w:hAnsi="Segoe UI" w:cs="Segoe UI"/>
                <w:sz w:val="20"/>
                <w:szCs w:val="20"/>
                <w:lang w:eastAsia="cs-CZ"/>
              </w:rPr>
            </w:pPr>
          </w:p>
        </w:tc>
        <w:tc>
          <w:tcPr>
            <w:tcW w:w="0" w:type="auto"/>
            <w:shd w:val="clear" w:color="auto" w:fill="FFFFFF"/>
          </w:tcPr>
          <w:p w14:paraId="0A6FF628" w14:textId="77777777" w:rsidR="009C5F5A" w:rsidRPr="005577B8" w:rsidRDefault="009C5F5A" w:rsidP="00630EC9">
            <w:pPr>
              <w:spacing w:after="0" w:line="240" w:lineRule="auto"/>
              <w:jc w:val="both"/>
              <w:rPr>
                <w:rFonts w:ascii="Segoe UI" w:eastAsia="Times New Roman" w:hAnsi="Segoe UI" w:cs="Segoe UI"/>
                <w:sz w:val="20"/>
                <w:szCs w:val="20"/>
                <w:lang w:eastAsia="cs-CZ"/>
              </w:rPr>
            </w:pPr>
          </w:p>
        </w:tc>
      </w:tr>
    </w:tbl>
    <w:p w14:paraId="1C510853" w14:textId="77777777" w:rsidR="00630EC9" w:rsidRPr="005577B8" w:rsidRDefault="00630EC9" w:rsidP="00630EC9">
      <w:pPr>
        <w:spacing w:after="0" w:line="240" w:lineRule="auto"/>
        <w:rPr>
          <w:rFonts w:ascii="Segoe UI" w:eastAsia="Times New Roman" w:hAnsi="Segoe UI" w:cs="Segoe UI"/>
          <w:vanish/>
          <w:sz w:val="20"/>
          <w:szCs w:val="20"/>
          <w:lang w:eastAsia="cs-CZ"/>
        </w:rPr>
      </w:pPr>
    </w:p>
    <w:tbl>
      <w:tblPr>
        <w:tblW w:w="5000" w:type="pct"/>
        <w:shd w:val="clear" w:color="auto" w:fill="FFFFFF"/>
        <w:tblCellMar>
          <w:left w:w="0" w:type="dxa"/>
          <w:right w:w="0" w:type="dxa"/>
        </w:tblCellMar>
        <w:tblLook w:val="04A0" w:firstRow="1" w:lastRow="0" w:firstColumn="1" w:lastColumn="0" w:noHBand="0" w:noVBand="1"/>
      </w:tblPr>
      <w:tblGrid>
        <w:gridCol w:w="4536"/>
        <w:gridCol w:w="4536"/>
      </w:tblGrid>
      <w:tr w:rsidR="00630EC9" w:rsidRPr="005577B8" w14:paraId="7F4CB8BF" w14:textId="77777777" w:rsidTr="00630EC9">
        <w:trPr>
          <w:trHeight w:val="92"/>
        </w:trPr>
        <w:tc>
          <w:tcPr>
            <w:tcW w:w="0" w:type="auto"/>
            <w:shd w:val="clear" w:color="auto" w:fill="FFFFFF"/>
          </w:tcPr>
          <w:p w14:paraId="6BB9094E" w14:textId="77777777" w:rsidR="009C5F5A" w:rsidRPr="005577B8" w:rsidRDefault="009C5F5A" w:rsidP="00630EC9">
            <w:pPr>
              <w:spacing w:after="0" w:line="240" w:lineRule="auto"/>
              <w:jc w:val="both"/>
              <w:rPr>
                <w:rFonts w:ascii="Segoe UI" w:eastAsia="Times New Roman" w:hAnsi="Segoe UI" w:cs="Segoe UI"/>
                <w:sz w:val="20"/>
                <w:szCs w:val="20"/>
                <w:lang w:eastAsia="cs-CZ"/>
              </w:rPr>
            </w:pPr>
          </w:p>
        </w:tc>
        <w:tc>
          <w:tcPr>
            <w:tcW w:w="0" w:type="auto"/>
            <w:shd w:val="clear" w:color="auto" w:fill="FFFFFF"/>
          </w:tcPr>
          <w:p w14:paraId="34A6D52C" w14:textId="77777777" w:rsidR="009C5F5A" w:rsidRPr="005577B8" w:rsidRDefault="009C5F5A" w:rsidP="00630EC9">
            <w:pPr>
              <w:spacing w:after="0" w:line="240" w:lineRule="auto"/>
              <w:jc w:val="both"/>
              <w:rPr>
                <w:rFonts w:ascii="Segoe UI" w:eastAsia="Times New Roman" w:hAnsi="Segoe UI" w:cs="Segoe UI"/>
                <w:sz w:val="20"/>
                <w:szCs w:val="20"/>
                <w:lang w:eastAsia="cs-CZ"/>
              </w:rPr>
            </w:pPr>
          </w:p>
        </w:tc>
      </w:tr>
    </w:tbl>
    <w:p w14:paraId="3D586755" w14:textId="77777777" w:rsidR="00630EC9" w:rsidRPr="005577B8" w:rsidRDefault="00630EC9" w:rsidP="00630EC9">
      <w:pPr>
        <w:spacing w:after="0" w:line="240" w:lineRule="auto"/>
        <w:rPr>
          <w:rFonts w:ascii="Segoe UI" w:eastAsia="Times New Roman" w:hAnsi="Segoe UI" w:cs="Segoe UI"/>
          <w:vanish/>
          <w:sz w:val="20"/>
          <w:szCs w:val="20"/>
          <w:lang w:eastAsia="cs-CZ"/>
        </w:rPr>
      </w:pPr>
    </w:p>
    <w:tbl>
      <w:tblPr>
        <w:tblW w:w="5000" w:type="pct"/>
        <w:shd w:val="clear" w:color="auto" w:fill="FFFFFF"/>
        <w:tblCellMar>
          <w:left w:w="0" w:type="dxa"/>
          <w:right w:w="0" w:type="dxa"/>
        </w:tblCellMar>
        <w:tblLook w:val="04A0" w:firstRow="1" w:lastRow="0" w:firstColumn="1" w:lastColumn="0" w:noHBand="0" w:noVBand="1"/>
      </w:tblPr>
      <w:tblGrid>
        <w:gridCol w:w="4536"/>
        <w:gridCol w:w="4536"/>
      </w:tblGrid>
      <w:tr w:rsidR="00630EC9" w:rsidRPr="005577B8" w14:paraId="5CA76154" w14:textId="77777777" w:rsidTr="00630EC9">
        <w:tc>
          <w:tcPr>
            <w:tcW w:w="0" w:type="auto"/>
            <w:shd w:val="clear" w:color="auto" w:fill="FFFFFF"/>
          </w:tcPr>
          <w:p w14:paraId="0380E9BF" w14:textId="77777777" w:rsidR="009C5F5A" w:rsidRPr="005577B8" w:rsidRDefault="009C5F5A" w:rsidP="00630EC9">
            <w:pPr>
              <w:spacing w:after="0" w:line="240" w:lineRule="auto"/>
              <w:jc w:val="both"/>
              <w:rPr>
                <w:rFonts w:ascii="Segoe UI" w:eastAsia="Times New Roman" w:hAnsi="Segoe UI" w:cs="Segoe UI"/>
                <w:sz w:val="20"/>
                <w:szCs w:val="20"/>
                <w:lang w:eastAsia="cs-CZ"/>
              </w:rPr>
            </w:pPr>
          </w:p>
        </w:tc>
        <w:tc>
          <w:tcPr>
            <w:tcW w:w="0" w:type="auto"/>
            <w:shd w:val="clear" w:color="auto" w:fill="FFFFFF"/>
          </w:tcPr>
          <w:p w14:paraId="0393EAE7" w14:textId="77777777" w:rsidR="009C5F5A" w:rsidRPr="005577B8" w:rsidRDefault="009C5F5A" w:rsidP="00630EC9">
            <w:pPr>
              <w:spacing w:after="0" w:line="240" w:lineRule="auto"/>
              <w:jc w:val="both"/>
              <w:rPr>
                <w:rFonts w:ascii="Segoe UI" w:eastAsia="Times New Roman" w:hAnsi="Segoe UI" w:cs="Segoe UI"/>
                <w:sz w:val="20"/>
                <w:szCs w:val="20"/>
                <w:lang w:eastAsia="cs-CZ"/>
              </w:rPr>
            </w:pPr>
          </w:p>
        </w:tc>
      </w:tr>
    </w:tbl>
    <w:p w14:paraId="1C4DC350" w14:textId="77777777" w:rsidR="00630EC9" w:rsidRPr="005577B8" w:rsidRDefault="00630EC9" w:rsidP="00630EC9">
      <w:pPr>
        <w:spacing w:after="0" w:line="240" w:lineRule="auto"/>
        <w:rPr>
          <w:rFonts w:ascii="Segoe UI" w:eastAsia="Times New Roman" w:hAnsi="Segoe UI" w:cs="Segoe UI"/>
          <w:vanish/>
          <w:sz w:val="20"/>
          <w:szCs w:val="20"/>
          <w:lang w:eastAsia="cs-CZ"/>
        </w:rPr>
      </w:pPr>
    </w:p>
    <w:p w14:paraId="6E4A87D6" w14:textId="77777777" w:rsidR="00630EC9" w:rsidRPr="005222CF" w:rsidRDefault="00630EC9">
      <w:pPr>
        <w:spacing w:before="120" w:after="120" w:line="240" w:lineRule="auto"/>
        <w:rPr>
          <w:rFonts w:ascii="Segoe UI" w:hAnsi="Segoe UI" w:cs="Segoe UI"/>
          <w:sz w:val="20"/>
          <w:szCs w:val="20"/>
        </w:rPr>
      </w:pPr>
    </w:p>
    <w:sectPr w:rsidR="00630EC9" w:rsidRPr="005222CF" w:rsidSect="00F83DAE">
      <w:pgSz w:w="11906" w:h="16838"/>
      <w:pgMar w:top="1104"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65BFD" w14:textId="77777777" w:rsidR="002B5369" w:rsidRDefault="002B5369" w:rsidP="005222CF">
      <w:pPr>
        <w:spacing w:after="0" w:line="240" w:lineRule="auto"/>
      </w:pPr>
      <w:r>
        <w:separator/>
      </w:r>
    </w:p>
  </w:endnote>
  <w:endnote w:type="continuationSeparator" w:id="0">
    <w:p w14:paraId="562D0084" w14:textId="77777777" w:rsidR="002B5369" w:rsidRDefault="002B5369" w:rsidP="00522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
    <w:altName w:val="Calibri"/>
    <w:charset w:val="00"/>
    <w:family w:val="auto"/>
    <w:pitch w:val="variable"/>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8339D" w14:textId="77777777" w:rsidR="002B5369" w:rsidRDefault="002B5369" w:rsidP="005222CF">
      <w:pPr>
        <w:spacing w:after="0" w:line="240" w:lineRule="auto"/>
      </w:pPr>
      <w:r>
        <w:separator/>
      </w:r>
    </w:p>
  </w:footnote>
  <w:footnote w:type="continuationSeparator" w:id="0">
    <w:p w14:paraId="76CB2586" w14:textId="77777777" w:rsidR="002B5369" w:rsidRDefault="002B5369" w:rsidP="005222CF">
      <w:pPr>
        <w:spacing w:after="0" w:line="240" w:lineRule="auto"/>
      </w:pPr>
      <w:r>
        <w:continuationSeparator/>
      </w:r>
    </w:p>
  </w:footnote>
  <w:footnote w:id="1">
    <w:p w14:paraId="5D848108" w14:textId="77777777" w:rsidR="005222CF" w:rsidRPr="00630EC9" w:rsidRDefault="005222CF">
      <w:pPr>
        <w:pStyle w:val="Textpoznpodarou"/>
        <w:rPr>
          <w:sz w:val="16"/>
          <w:szCs w:val="16"/>
        </w:rPr>
      </w:pPr>
      <w:r w:rsidRPr="00630EC9">
        <w:rPr>
          <w:rStyle w:val="Znakapoznpodarou"/>
          <w:sz w:val="16"/>
          <w:szCs w:val="16"/>
        </w:rPr>
        <w:footnoteRef/>
      </w:r>
      <w:r w:rsidRPr="00630EC9">
        <w:rPr>
          <w:sz w:val="16"/>
          <w:szCs w:val="16"/>
        </w:rPr>
        <w:t xml:space="preserve"> Viz příloha č. 1</w:t>
      </w:r>
    </w:p>
  </w:footnote>
  <w:footnote w:id="2">
    <w:p w14:paraId="3F56E51A" w14:textId="77777777" w:rsidR="005222CF" w:rsidRPr="00630EC9" w:rsidRDefault="005222CF" w:rsidP="00630EC9">
      <w:pPr>
        <w:pStyle w:val="Textpoznpodarou"/>
        <w:jc w:val="both"/>
        <w:rPr>
          <w:sz w:val="16"/>
          <w:szCs w:val="16"/>
        </w:rPr>
      </w:pPr>
      <w:r w:rsidRPr="00630EC9">
        <w:rPr>
          <w:rStyle w:val="Znakapoznpodarou"/>
          <w:sz w:val="16"/>
          <w:szCs w:val="16"/>
        </w:rPr>
        <w:footnoteRef/>
      </w:r>
      <w:r w:rsidRPr="00630EC9">
        <w:rPr>
          <w:sz w:val="16"/>
          <w:szCs w:val="16"/>
        </w:rPr>
        <w:t xml:space="preserve"> </w:t>
      </w:r>
      <w:r w:rsidR="00630EC9" w:rsidRPr="00630EC9">
        <w:rPr>
          <w:sz w:val="16"/>
          <w:szCs w:val="16"/>
        </w:rPr>
        <w:t>Sociální podnikání představují podnikatelské aktivity prospívající společnosti životnímu prostředí. Hrají významnou roli v místním rozvoji a často vytváří pracovní příležitosti pro osoby se zdravotním, sociálním nebo kulturním znevýhodněním. Zisk je z větší části použit na další rozvoj podniku.</w:t>
      </w:r>
    </w:p>
  </w:footnote>
  <w:footnote w:id="3">
    <w:p w14:paraId="039FDE15" w14:textId="77777777" w:rsidR="005222CF" w:rsidRPr="00630EC9" w:rsidRDefault="005222CF" w:rsidP="00630EC9">
      <w:pPr>
        <w:pStyle w:val="Textpoznpodarou"/>
        <w:jc w:val="both"/>
        <w:rPr>
          <w:rFonts w:cstheme="minorHAnsi"/>
          <w:sz w:val="16"/>
          <w:szCs w:val="16"/>
        </w:rPr>
      </w:pPr>
      <w:r w:rsidRPr="00630EC9">
        <w:rPr>
          <w:rStyle w:val="Znakapoznpodarou"/>
          <w:rFonts w:cstheme="minorHAnsi"/>
          <w:sz w:val="16"/>
          <w:szCs w:val="16"/>
        </w:rPr>
        <w:footnoteRef/>
      </w:r>
      <w:r w:rsidRPr="00630EC9">
        <w:rPr>
          <w:rFonts w:cstheme="minorHAnsi"/>
          <w:sz w:val="16"/>
          <w:szCs w:val="16"/>
        </w:rPr>
        <w:t xml:space="preserve"> </w:t>
      </w:r>
      <w:r w:rsidRPr="00630EC9">
        <w:rPr>
          <w:rFonts w:cstheme="minorHAnsi"/>
          <w:sz w:val="16"/>
          <w:szCs w:val="16"/>
          <w:shd w:val="clear" w:color="auto" w:fill="FFFFFF"/>
        </w:rPr>
        <w:t>Cirkulární ekonomika je koncept, který je integrální součástí udržitelného rozvoje. Zabývá se způsoby, jak zvyšovat kvalitu životního prostředí a lidského života pomocí zvyšování efektivity produkce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D64E3D"/>
    <w:multiLevelType w:val="hybridMultilevel"/>
    <w:tmpl w:val="721C2B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78094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EDA"/>
    <w:rsid w:val="00011DF4"/>
    <w:rsid w:val="000330DB"/>
    <w:rsid w:val="000F4D02"/>
    <w:rsid w:val="00126786"/>
    <w:rsid w:val="001F3098"/>
    <w:rsid w:val="00222521"/>
    <w:rsid w:val="00256A2C"/>
    <w:rsid w:val="002B3D0D"/>
    <w:rsid w:val="002B5369"/>
    <w:rsid w:val="002D7583"/>
    <w:rsid w:val="003E76A2"/>
    <w:rsid w:val="003F27A6"/>
    <w:rsid w:val="0042169C"/>
    <w:rsid w:val="004D2DB8"/>
    <w:rsid w:val="005018D0"/>
    <w:rsid w:val="00506CFC"/>
    <w:rsid w:val="005222CF"/>
    <w:rsid w:val="00572427"/>
    <w:rsid w:val="00572A05"/>
    <w:rsid w:val="0057351C"/>
    <w:rsid w:val="005A6A36"/>
    <w:rsid w:val="005F7FEC"/>
    <w:rsid w:val="00630EC9"/>
    <w:rsid w:val="00653C56"/>
    <w:rsid w:val="006C4A5C"/>
    <w:rsid w:val="006F3797"/>
    <w:rsid w:val="00897852"/>
    <w:rsid w:val="008C32BF"/>
    <w:rsid w:val="008D2F4F"/>
    <w:rsid w:val="008E496D"/>
    <w:rsid w:val="008F5FCB"/>
    <w:rsid w:val="0090154C"/>
    <w:rsid w:val="009424AD"/>
    <w:rsid w:val="0094743F"/>
    <w:rsid w:val="0095125A"/>
    <w:rsid w:val="00963DDE"/>
    <w:rsid w:val="009C4906"/>
    <w:rsid w:val="009C5F5A"/>
    <w:rsid w:val="00A41EF7"/>
    <w:rsid w:val="00AA3FE3"/>
    <w:rsid w:val="00B35082"/>
    <w:rsid w:val="00B6408C"/>
    <w:rsid w:val="00B9764D"/>
    <w:rsid w:val="00BE2DA6"/>
    <w:rsid w:val="00BF2640"/>
    <w:rsid w:val="00C07704"/>
    <w:rsid w:val="00C25AE7"/>
    <w:rsid w:val="00C6043A"/>
    <w:rsid w:val="00C61EDA"/>
    <w:rsid w:val="00C870C7"/>
    <w:rsid w:val="00C94917"/>
    <w:rsid w:val="00CA5915"/>
    <w:rsid w:val="00D36576"/>
    <w:rsid w:val="00D376BE"/>
    <w:rsid w:val="00D37C6B"/>
    <w:rsid w:val="00D70343"/>
    <w:rsid w:val="00D714FE"/>
    <w:rsid w:val="00DD537A"/>
    <w:rsid w:val="00DE0EF9"/>
    <w:rsid w:val="00E04880"/>
    <w:rsid w:val="00E147AB"/>
    <w:rsid w:val="00E51834"/>
    <w:rsid w:val="00E72F95"/>
    <w:rsid w:val="00E8785F"/>
    <w:rsid w:val="00EA71B8"/>
    <w:rsid w:val="00EC3C13"/>
    <w:rsid w:val="00EF24E4"/>
    <w:rsid w:val="00F005C6"/>
    <w:rsid w:val="00F228E2"/>
    <w:rsid w:val="00F2346D"/>
    <w:rsid w:val="00F736BB"/>
    <w:rsid w:val="00F83DAE"/>
    <w:rsid w:val="00F91CBE"/>
    <w:rsid w:val="00FC3786"/>
    <w:rsid w:val="00FD27E4"/>
    <w:rsid w:val="00FF48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0D3C1"/>
  <w15:docId w15:val="{9985578A-C3EA-4622-B551-AF8701000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C61E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5222C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222CF"/>
    <w:rPr>
      <w:sz w:val="20"/>
      <w:szCs w:val="20"/>
    </w:rPr>
  </w:style>
  <w:style w:type="character" w:styleId="Znakapoznpodarou">
    <w:name w:val="footnote reference"/>
    <w:basedOn w:val="Standardnpsmoodstavce"/>
    <w:uiPriority w:val="99"/>
    <w:semiHidden/>
    <w:unhideWhenUsed/>
    <w:rsid w:val="005222CF"/>
    <w:rPr>
      <w:vertAlign w:val="superscript"/>
    </w:rPr>
  </w:style>
  <w:style w:type="paragraph" w:customStyle="1" w:styleId="doc-ti">
    <w:name w:val="doc-ti"/>
    <w:basedOn w:val="Normln"/>
    <w:rsid w:val="00630E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F83DAE"/>
    <w:pPr>
      <w:ind w:left="720"/>
      <w:contextualSpacing/>
    </w:pPr>
  </w:style>
  <w:style w:type="paragraph" w:styleId="Zhlav">
    <w:name w:val="header"/>
    <w:basedOn w:val="Normln"/>
    <w:link w:val="ZhlavChar"/>
    <w:uiPriority w:val="99"/>
    <w:unhideWhenUsed/>
    <w:rsid w:val="00F83D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83DAE"/>
  </w:style>
  <w:style w:type="paragraph" w:styleId="Zpat">
    <w:name w:val="footer"/>
    <w:basedOn w:val="Normln"/>
    <w:link w:val="ZpatChar"/>
    <w:uiPriority w:val="99"/>
    <w:unhideWhenUsed/>
    <w:rsid w:val="00F83DAE"/>
    <w:pPr>
      <w:tabs>
        <w:tab w:val="center" w:pos="4536"/>
        <w:tab w:val="right" w:pos="9072"/>
      </w:tabs>
      <w:spacing w:after="0" w:line="240" w:lineRule="auto"/>
    </w:pPr>
  </w:style>
  <w:style w:type="character" w:customStyle="1" w:styleId="ZpatChar">
    <w:name w:val="Zápatí Char"/>
    <w:basedOn w:val="Standardnpsmoodstavce"/>
    <w:link w:val="Zpat"/>
    <w:uiPriority w:val="99"/>
    <w:rsid w:val="00F83DAE"/>
  </w:style>
  <w:style w:type="character" w:styleId="Odkaznakoment">
    <w:name w:val="annotation reference"/>
    <w:basedOn w:val="Standardnpsmoodstavce"/>
    <w:uiPriority w:val="99"/>
    <w:semiHidden/>
    <w:unhideWhenUsed/>
    <w:rsid w:val="00B35082"/>
    <w:rPr>
      <w:sz w:val="16"/>
      <w:szCs w:val="16"/>
    </w:rPr>
  </w:style>
  <w:style w:type="paragraph" w:styleId="Textkomente">
    <w:name w:val="annotation text"/>
    <w:basedOn w:val="Normln"/>
    <w:link w:val="TextkomenteChar"/>
    <w:uiPriority w:val="99"/>
    <w:semiHidden/>
    <w:unhideWhenUsed/>
    <w:rsid w:val="00B35082"/>
    <w:pPr>
      <w:spacing w:line="240" w:lineRule="auto"/>
    </w:pPr>
    <w:rPr>
      <w:sz w:val="20"/>
      <w:szCs w:val="20"/>
    </w:rPr>
  </w:style>
  <w:style w:type="character" w:customStyle="1" w:styleId="TextkomenteChar">
    <w:name w:val="Text komentáře Char"/>
    <w:basedOn w:val="Standardnpsmoodstavce"/>
    <w:link w:val="Textkomente"/>
    <w:uiPriority w:val="99"/>
    <w:semiHidden/>
    <w:rsid w:val="00B35082"/>
    <w:rPr>
      <w:sz w:val="20"/>
      <w:szCs w:val="20"/>
    </w:rPr>
  </w:style>
  <w:style w:type="paragraph" w:styleId="Pedmtkomente">
    <w:name w:val="annotation subject"/>
    <w:basedOn w:val="Textkomente"/>
    <w:next w:val="Textkomente"/>
    <w:link w:val="PedmtkomenteChar"/>
    <w:uiPriority w:val="99"/>
    <w:semiHidden/>
    <w:unhideWhenUsed/>
    <w:rsid w:val="00B35082"/>
    <w:rPr>
      <w:b/>
      <w:bCs/>
    </w:rPr>
  </w:style>
  <w:style w:type="character" w:customStyle="1" w:styleId="PedmtkomenteChar">
    <w:name w:val="Předmět komentáře Char"/>
    <w:basedOn w:val="TextkomenteChar"/>
    <w:link w:val="Pedmtkomente"/>
    <w:uiPriority w:val="99"/>
    <w:semiHidden/>
    <w:rsid w:val="00B35082"/>
    <w:rPr>
      <w:b/>
      <w:bCs/>
      <w:sz w:val="20"/>
      <w:szCs w:val="20"/>
    </w:rPr>
  </w:style>
  <w:style w:type="paragraph" w:styleId="Textbubliny">
    <w:name w:val="Balloon Text"/>
    <w:basedOn w:val="Normln"/>
    <w:link w:val="TextbublinyChar"/>
    <w:uiPriority w:val="99"/>
    <w:semiHidden/>
    <w:unhideWhenUsed/>
    <w:rsid w:val="00B3508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35082"/>
    <w:rPr>
      <w:rFonts w:ascii="Tahoma" w:hAnsi="Tahoma" w:cs="Tahoma"/>
      <w:sz w:val="16"/>
      <w:szCs w:val="16"/>
    </w:rPr>
  </w:style>
  <w:style w:type="paragraph" w:styleId="Revize">
    <w:name w:val="Revision"/>
    <w:hidden/>
    <w:uiPriority w:val="99"/>
    <w:semiHidden/>
    <w:rsid w:val="006F3797"/>
    <w:pPr>
      <w:spacing w:after="0" w:line="240" w:lineRule="auto"/>
    </w:pPr>
  </w:style>
  <w:style w:type="paragraph" w:customStyle="1" w:styleId="Default">
    <w:name w:val="Default"/>
    <w:rsid w:val="00011DF4"/>
    <w:pPr>
      <w:autoSpaceDE w:val="0"/>
      <w:autoSpaceDN w:val="0"/>
      <w:adjustRightInd w:val="0"/>
      <w:spacing w:after="0" w:line="240" w:lineRule="auto"/>
    </w:pPr>
    <w:rPr>
      <w:rFonts w:ascii="Calibri" w:hAnsi="Calibri" w:cs="Calibri"/>
      <w:color w:val="000000"/>
      <w:sz w:val="24"/>
      <w:szCs w:val="24"/>
    </w:rPr>
  </w:style>
  <w:style w:type="paragraph" w:customStyle="1" w:styleId="Standard">
    <w:name w:val="Standard"/>
    <w:rsid w:val="00C25AE7"/>
    <w:pPr>
      <w:suppressAutoHyphens/>
      <w:autoSpaceDN w:val="0"/>
      <w:spacing w:after="160" w:line="247" w:lineRule="auto"/>
      <w:textAlignment w:val="baseline"/>
    </w:pPr>
    <w:rPr>
      <w:rFonts w:ascii="Calibri" w:eastAsia="Calibri" w:hAnsi="Calibri" w:cs="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000632">
      <w:bodyDiv w:val="1"/>
      <w:marLeft w:val="0"/>
      <w:marRight w:val="0"/>
      <w:marTop w:val="0"/>
      <w:marBottom w:val="0"/>
      <w:divBdr>
        <w:top w:val="none" w:sz="0" w:space="0" w:color="auto"/>
        <w:left w:val="none" w:sz="0" w:space="0" w:color="auto"/>
        <w:bottom w:val="none" w:sz="0" w:space="0" w:color="auto"/>
        <w:right w:val="none" w:sz="0" w:space="0" w:color="auto"/>
      </w:divBdr>
    </w:div>
    <w:div w:id="115241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3095E-1FAC-49DC-84B5-24A777399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1289</Words>
  <Characters>7606</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DABONA s.r.o.</Company>
  <LinksUpToDate>false</LinksUpToDate>
  <CharactersWithSpaces>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Lukášová</dc:creator>
  <cp:lastModifiedBy>Veronika Kloudová</cp:lastModifiedBy>
  <cp:revision>2</cp:revision>
  <cp:lastPrinted>2022-06-21T11:08:00Z</cp:lastPrinted>
  <dcterms:created xsi:type="dcterms:W3CDTF">2025-10-20T05:57:00Z</dcterms:created>
  <dcterms:modified xsi:type="dcterms:W3CDTF">2025-10-20T05:57:00Z</dcterms:modified>
</cp:coreProperties>
</file>